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766AB9">
      <w:pPr>
        <w:spacing w:after="0" w:line="360" w:lineRule="auto"/>
      </w:pPr>
    </w:p>
    <w:p w:rsidR="0078314A" w:rsidP="00766AB9">
      <w:pPr>
        <w:spacing w:after="0" w:line="360" w:lineRule="auto"/>
      </w:pPr>
    </w:p>
    <w:p w:rsidR="0078314A" w:rsidP="00766AB9">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78314A">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2568FF" w:rsidP="00766AB9">
            <w:pPr>
              <w:spacing w:line="360" w:lineRule="auto"/>
              <w:jc w:val="center"/>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2568FF" w:rsidRPr="00847C83" w:rsidP="003D3384">
            <w:r w:rsidRPr="00847C83">
              <w:t>TŞ.061</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2568FF" w:rsidP="00766AB9">
            <w:pPr>
              <w:spacing w:line="360" w:lineRule="auto"/>
              <w:jc w:val="center"/>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2568FF" w:rsidRPr="00847C83" w:rsidP="003D3384">
            <w:r w:rsidRPr="00847C83">
              <w:t>18.12.2018</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2568FF" w:rsidP="00766AB9">
            <w:pPr>
              <w:spacing w:line="360" w:lineRule="auto"/>
              <w:jc w:val="center"/>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2568FF" w:rsidRPr="00847C83" w:rsidP="003D3384">
            <w:r w:rsidRPr="00847C83">
              <w:t>1</w:t>
            </w:r>
          </w:p>
        </w:tc>
      </w:tr>
      <w:tr w:rsidTr="0078314A">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2568FF" w:rsidP="00766AB9">
            <w:pPr>
              <w:spacing w:line="360" w:lineRule="auto"/>
              <w:jc w:val="center"/>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2568FF" w:rsidP="003D3384">
            <w:r w:rsidRPr="00847C83">
              <w:t>16.03.2020</w:t>
            </w:r>
          </w:p>
        </w:tc>
      </w:tr>
    </w:tbl>
    <w:p w:rsidR="0078314A" w:rsidP="00766AB9">
      <w:pPr>
        <w:spacing w:after="0" w:line="360" w:lineRule="auto"/>
      </w:pPr>
    </w:p>
    <w:p w:rsidR="0078314A" w:rsidP="00766AB9">
      <w:pPr>
        <w:spacing w:after="0" w:line="360" w:lineRule="auto"/>
      </w:pPr>
    </w:p>
    <w:tbl>
      <w:tblPr>
        <w:tblStyle w:val="TableGrid"/>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64"/>
        <w:gridCol w:w="2022"/>
        <w:gridCol w:w="2414"/>
      </w:tblGrid>
      <w:tr w:rsidTr="00010192">
        <w:tblPrEx>
          <w:tblW w:w="690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BB2605" w:rsidP="00010192">
            <w:pPr>
              <w:spacing w:line="360" w:lineRule="auto"/>
              <w:jc w:val="center"/>
            </w:pPr>
          </w:p>
        </w:tc>
        <w:tc>
          <w:tcPr>
            <w:tcW w:w="2029" w:type="dxa"/>
            <w:tcBorders>
              <w:top w:val="double" w:sz="4" w:space="0" w:color="auto"/>
              <w:left w:val="double" w:sz="4" w:space="0" w:color="auto"/>
              <w:bottom w:val="double" w:sz="4" w:space="0" w:color="auto"/>
              <w:right w:val="double" w:sz="4" w:space="0" w:color="auto"/>
            </w:tcBorders>
            <w:vAlign w:val="center"/>
            <w:hideMark/>
          </w:tcPr>
          <w:p w:rsidR="00BB2605" w:rsidP="00010192">
            <w:pPr>
              <w:spacing w:line="360" w:lineRule="auto"/>
              <w:jc w:val="center"/>
              <w:rPr>
                <w:b/>
              </w:rPr>
            </w:pPr>
            <w:r>
              <w:rPr>
                <w:b/>
              </w:rPr>
              <w:t>İsim</w:t>
            </w:r>
          </w:p>
        </w:tc>
        <w:tc>
          <w:tcPr>
            <w:tcW w:w="2386" w:type="dxa"/>
            <w:tcBorders>
              <w:top w:val="double" w:sz="4" w:space="0" w:color="auto"/>
              <w:left w:val="double" w:sz="4" w:space="0" w:color="auto"/>
              <w:bottom w:val="double" w:sz="4" w:space="0" w:color="auto"/>
              <w:right w:val="double" w:sz="4" w:space="0" w:color="auto"/>
            </w:tcBorders>
            <w:vAlign w:val="center"/>
            <w:hideMark/>
          </w:tcPr>
          <w:p w:rsidR="00BB2605" w:rsidP="00010192">
            <w:pPr>
              <w:spacing w:line="360" w:lineRule="auto"/>
              <w:jc w:val="center"/>
              <w:rPr>
                <w:b/>
              </w:rPr>
            </w:pPr>
            <w:r>
              <w:rPr>
                <w:b/>
              </w:rPr>
              <w:t>Pozisyon</w:t>
            </w:r>
          </w:p>
        </w:tc>
      </w:tr>
      <w:tr w:rsidTr="00BE5773">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2568FF" w:rsidP="00010192">
            <w:pPr>
              <w:spacing w:line="360" w:lineRule="auto"/>
              <w:jc w:val="center"/>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hideMark/>
          </w:tcPr>
          <w:p w:rsidR="002568FF" w:rsidRPr="000A3823" w:rsidP="0036638B">
            <w:pPr>
              <w:jc w:val="center"/>
            </w:pPr>
            <w:r w:rsidRPr="000A3823">
              <w:t>FATİH ERDİN</w:t>
            </w:r>
          </w:p>
        </w:tc>
        <w:tc>
          <w:tcPr>
            <w:tcW w:w="2386" w:type="dxa"/>
            <w:tcBorders>
              <w:top w:val="double" w:sz="4" w:space="0" w:color="auto"/>
              <w:left w:val="double" w:sz="4" w:space="0" w:color="auto"/>
              <w:bottom w:val="double" w:sz="4" w:space="0" w:color="auto"/>
              <w:right w:val="double" w:sz="4" w:space="0" w:color="auto"/>
            </w:tcBorders>
            <w:hideMark/>
          </w:tcPr>
          <w:p w:rsidR="002568FF" w:rsidRPr="000A3823" w:rsidP="0036638B">
            <w:pPr>
              <w:jc w:val="center"/>
            </w:pPr>
            <w:r w:rsidRPr="000A3823">
              <w:t>Röle Koordinasyon Yönetmeni</w:t>
            </w:r>
          </w:p>
        </w:tc>
      </w:tr>
      <w:tr w:rsidTr="00BE5773">
        <w:tblPrEx>
          <w:tblW w:w="6900"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2568FF" w:rsidP="00010192">
            <w:pPr>
              <w:spacing w:line="360" w:lineRule="auto"/>
              <w:jc w:val="center"/>
              <w:rPr>
                <w:b/>
              </w:rPr>
            </w:pPr>
            <w:r>
              <w:rPr>
                <w:b/>
              </w:rPr>
              <w:t>Onaylayan</w:t>
            </w:r>
          </w:p>
        </w:tc>
        <w:tc>
          <w:tcPr>
            <w:tcW w:w="2029" w:type="dxa"/>
            <w:tcBorders>
              <w:top w:val="double" w:sz="4" w:space="0" w:color="auto"/>
              <w:left w:val="double" w:sz="4" w:space="0" w:color="auto"/>
              <w:bottom w:val="double" w:sz="4" w:space="0" w:color="auto"/>
              <w:right w:val="double" w:sz="4" w:space="0" w:color="auto"/>
            </w:tcBorders>
          </w:tcPr>
          <w:p w:rsidR="002568FF" w:rsidRPr="000A3823" w:rsidP="0036638B">
            <w:pPr>
              <w:jc w:val="center"/>
            </w:pPr>
            <w:r w:rsidRPr="000A3823">
              <w:t>VOLKAN ÇELİK</w:t>
            </w:r>
          </w:p>
        </w:tc>
        <w:tc>
          <w:tcPr>
            <w:tcW w:w="2386" w:type="dxa"/>
            <w:tcBorders>
              <w:top w:val="double" w:sz="4" w:space="0" w:color="auto"/>
              <w:left w:val="double" w:sz="4" w:space="0" w:color="auto"/>
              <w:bottom w:val="double" w:sz="4" w:space="0" w:color="auto"/>
              <w:right w:val="double" w:sz="4" w:space="0" w:color="auto"/>
            </w:tcBorders>
          </w:tcPr>
          <w:p w:rsidR="002568FF" w:rsidP="0036638B">
            <w:pPr>
              <w:jc w:val="center"/>
            </w:pPr>
            <w:r w:rsidRPr="000A3823">
              <w:t>Sistem İşletme Direktörü</w:t>
            </w:r>
          </w:p>
        </w:tc>
      </w:tr>
    </w:tbl>
    <w:p w:rsidR="0078314A" w:rsidP="00766AB9">
      <w:pPr>
        <w:spacing w:after="0" w:line="360" w:lineRule="auto"/>
      </w:pPr>
    </w:p>
    <w:p w:rsidR="0078314A" w:rsidP="00766AB9">
      <w:pPr>
        <w:spacing w:after="0" w:line="360" w:lineRule="auto"/>
      </w:pPr>
    </w:p>
    <w:p w:rsidR="006870A0" w:rsidP="00766AB9">
      <w:pPr>
        <w:spacing w:after="0" w:line="360" w:lineRule="auto"/>
      </w:pPr>
    </w:p>
    <w:p w:rsidR="0046536D" w:rsidP="00766AB9">
      <w:pPr>
        <w:spacing w:after="0" w:line="360" w:lineRule="auto"/>
      </w:pPr>
    </w:p>
    <w:p w:rsidR="00BB7875" w:rsidP="00766AB9">
      <w:pPr>
        <w:pStyle w:val="Default"/>
        <w:spacing w:line="360" w:lineRule="auto"/>
      </w:pPr>
      <w:r>
        <w:br w:type="page"/>
      </w: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37490037"/>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598475140"/>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43339945"/>
                    <w:docPartObj>
                      <w:docPartGallery w:val="Table of Contents"/>
                      <w:docPartUnique/>
                    </w:docPartObj>
                  </w:sdtPr>
                  <w:sdtEndPr>
                    <w:rPr>
                      <w:caps w:val="0"/>
                      <w:noProof/>
                    </w:rPr>
                  </w:sdtEndPr>
                  <w:sdtContent>
                    <w:p w:rsidR="004E40B5" w:rsidP="004E40B5">
                      <w:pPr>
                        <w:pStyle w:val="TOCHeading"/>
                        <w:numPr>
                          <w:ilvl w:val="0"/>
                          <w:numId w:val="1"/>
                        </w:numPr>
                        <w:spacing w:before="0" w:after="0" w:line="360" w:lineRule="auto"/>
                        <w:jc w:val="both"/>
                      </w:pPr>
                      <w:r>
                        <w:t>İÇİNDEKİLER</w:t>
                      </w:r>
                    </w:p>
                    <w:p w:rsidR="001507A2">
                      <w:pPr>
                        <w:pStyle w:val="TOC1"/>
                        <w:rPr>
                          <w:noProof/>
                          <w:lang w:eastAsia="tr-TR"/>
                        </w:rPr>
                      </w:pPr>
                      <w:r>
                        <w:fldChar w:fldCharType="begin"/>
                      </w:r>
                      <w:r>
                        <w:instrText xml:space="preserve"> TOC \o "1-3" \h \z \u </w:instrText>
                      </w:r>
                      <w:r>
                        <w:fldChar w:fldCharType="separate"/>
                      </w:r>
                      <w:hyperlink w:anchor="_Toc2557028" w:history="1">
                        <w:r w:rsidRPr="00F660D2">
                          <w:rPr>
                            <w:rStyle w:val="Hyperlink"/>
                            <w:noProof/>
                          </w:rPr>
                          <w:t>2</w:t>
                        </w:r>
                        <w:r>
                          <w:rPr>
                            <w:noProof/>
                            <w:lang w:eastAsia="tr-TR"/>
                          </w:rPr>
                          <w:tab/>
                        </w:r>
                        <w:r w:rsidRPr="00F660D2">
                          <w:rPr>
                            <w:rStyle w:val="Hyperlink"/>
                            <w:noProof/>
                          </w:rPr>
                          <w:t>KONU</w:t>
                        </w:r>
                        <w:r>
                          <w:rPr>
                            <w:noProof/>
                            <w:webHidden/>
                          </w:rPr>
                          <w:tab/>
                        </w:r>
                        <w:r>
                          <w:rPr>
                            <w:noProof/>
                            <w:webHidden/>
                          </w:rPr>
                          <w:fldChar w:fldCharType="begin"/>
                        </w:r>
                        <w:r>
                          <w:rPr>
                            <w:noProof/>
                            <w:webHidden/>
                          </w:rPr>
                          <w:instrText xml:space="preserve"> PAGEREF _Toc2557028 \h </w:instrText>
                        </w:r>
                        <w:r>
                          <w:rPr>
                            <w:noProof/>
                            <w:webHidden/>
                          </w:rPr>
                          <w:fldChar w:fldCharType="separate"/>
                        </w:r>
                        <w:r w:rsidR="00F11189">
                          <w:rPr>
                            <w:noProof/>
                            <w:webHidden/>
                          </w:rPr>
                          <w:t>3</w:t>
                        </w:r>
                        <w:r>
                          <w:rPr>
                            <w:noProof/>
                            <w:webHidden/>
                          </w:rPr>
                          <w:fldChar w:fldCharType="end"/>
                        </w:r>
                      </w:hyperlink>
                    </w:p>
                    <w:p w:rsidR="001507A2">
                      <w:pPr>
                        <w:pStyle w:val="TOC1"/>
                        <w:rPr>
                          <w:noProof/>
                          <w:lang w:eastAsia="tr-TR"/>
                        </w:rPr>
                      </w:pPr>
                      <w:hyperlink w:anchor="_Toc2557029" w:history="1">
                        <w:r w:rsidRPr="00F660D2" w:rsidR="008E0D39">
                          <w:rPr>
                            <w:rStyle w:val="Hyperlink"/>
                            <w:noProof/>
                          </w:rPr>
                          <w:t>3</w:t>
                        </w:r>
                        <w:r w:rsidR="008E0D39">
                          <w:rPr>
                            <w:noProof/>
                            <w:lang w:eastAsia="tr-TR"/>
                          </w:rPr>
                          <w:tab/>
                        </w:r>
                        <w:r w:rsidRPr="00F660D2" w:rsidR="008E0D39">
                          <w:rPr>
                            <w:rStyle w:val="Hyperlink"/>
                            <w:noProof/>
                          </w:rPr>
                          <w:t>TANIMLAR ve KISALTMALAR</w:t>
                        </w:r>
                        <w:r w:rsidR="008E0D39">
                          <w:rPr>
                            <w:noProof/>
                            <w:webHidden/>
                          </w:rPr>
                          <w:tab/>
                        </w:r>
                        <w:r w:rsidR="008E0D39">
                          <w:rPr>
                            <w:noProof/>
                            <w:webHidden/>
                          </w:rPr>
                          <w:fldChar w:fldCharType="begin"/>
                        </w:r>
                        <w:r w:rsidR="008E0D39">
                          <w:rPr>
                            <w:noProof/>
                            <w:webHidden/>
                          </w:rPr>
                          <w:instrText xml:space="preserve"> PAGEREF _Toc2557029 \h </w:instrText>
                        </w:r>
                        <w:r w:rsidR="008E0D39">
                          <w:rPr>
                            <w:noProof/>
                            <w:webHidden/>
                          </w:rPr>
                          <w:fldChar w:fldCharType="separate"/>
                        </w:r>
                        <w:r w:rsidR="00F11189">
                          <w:rPr>
                            <w:noProof/>
                            <w:webHidden/>
                          </w:rPr>
                          <w:t>3</w:t>
                        </w:r>
                        <w:r w:rsidR="008E0D39">
                          <w:rPr>
                            <w:noProof/>
                            <w:webHidden/>
                          </w:rPr>
                          <w:fldChar w:fldCharType="end"/>
                        </w:r>
                      </w:hyperlink>
                    </w:p>
                    <w:p w:rsidR="001507A2">
                      <w:pPr>
                        <w:pStyle w:val="TOC1"/>
                        <w:rPr>
                          <w:noProof/>
                          <w:lang w:eastAsia="tr-TR"/>
                        </w:rPr>
                      </w:pPr>
                      <w:hyperlink w:anchor="_Toc2557030" w:history="1">
                        <w:r w:rsidRPr="00F660D2" w:rsidR="008E0D39">
                          <w:rPr>
                            <w:rStyle w:val="Hyperlink"/>
                            <w:noProof/>
                          </w:rPr>
                          <w:t>4</w:t>
                        </w:r>
                        <w:r w:rsidR="008E0D39">
                          <w:rPr>
                            <w:noProof/>
                            <w:lang w:eastAsia="tr-TR"/>
                          </w:rPr>
                          <w:tab/>
                        </w:r>
                        <w:r w:rsidRPr="00F660D2" w:rsidR="008E0D39">
                          <w:rPr>
                            <w:rStyle w:val="Hyperlink"/>
                            <w:noProof/>
                          </w:rPr>
                          <w:t>TEKNİK ÖZELLİKLER</w:t>
                        </w:r>
                        <w:r w:rsidR="008E0D39">
                          <w:rPr>
                            <w:noProof/>
                            <w:webHidden/>
                          </w:rPr>
                          <w:tab/>
                        </w:r>
                        <w:r w:rsidR="008E0D39">
                          <w:rPr>
                            <w:noProof/>
                            <w:webHidden/>
                          </w:rPr>
                          <w:fldChar w:fldCharType="begin"/>
                        </w:r>
                        <w:r w:rsidR="008E0D39">
                          <w:rPr>
                            <w:noProof/>
                            <w:webHidden/>
                          </w:rPr>
                          <w:instrText xml:space="preserve"> PAGEREF _Toc2557030 \h </w:instrText>
                        </w:r>
                        <w:r w:rsidR="008E0D39">
                          <w:rPr>
                            <w:noProof/>
                            <w:webHidden/>
                          </w:rPr>
                          <w:fldChar w:fldCharType="separate"/>
                        </w:r>
                        <w:r w:rsidR="00F11189">
                          <w:rPr>
                            <w:noProof/>
                            <w:webHidden/>
                          </w:rPr>
                          <w:t>3</w:t>
                        </w:r>
                        <w:r w:rsidR="008E0D39">
                          <w:rPr>
                            <w:noProof/>
                            <w:webHidden/>
                          </w:rPr>
                          <w:fldChar w:fldCharType="end"/>
                        </w:r>
                      </w:hyperlink>
                    </w:p>
                    <w:p w:rsidR="001507A2">
                      <w:pPr>
                        <w:pStyle w:val="TOC2"/>
                        <w:tabs>
                          <w:tab w:val="left" w:pos="880"/>
                          <w:tab w:val="right" w:leader="dot" w:pos="9060"/>
                        </w:tabs>
                        <w:rPr>
                          <w:noProof/>
                          <w:lang w:eastAsia="tr-TR"/>
                        </w:rPr>
                      </w:pPr>
                      <w:hyperlink w:anchor="_Toc2557031" w:history="1">
                        <w:r w:rsidRPr="00F660D2" w:rsidR="008E0D39">
                          <w:rPr>
                            <w:rStyle w:val="Hyperlink"/>
                            <w:noProof/>
                          </w:rPr>
                          <w:t>4.1</w:t>
                        </w:r>
                        <w:r w:rsidR="008E0D39">
                          <w:rPr>
                            <w:noProof/>
                            <w:lang w:eastAsia="tr-TR"/>
                          </w:rPr>
                          <w:tab/>
                        </w:r>
                        <w:r w:rsidRPr="00F660D2" w:rsidR="008E0D39">
                          <w:rPr>
                            <w:rStyle w:val="Hyperlink"/>
                            <w:noProof/>
                          </w:rPr>
                          <w:t>TASARIM VE YAPISAL ÖZELLİKLER</w:t>
                        </w:r>
                        <w:r w:rsidR="008E0D39">
                          <w:rPr>
                            <w:noProof/>
                            <w:webHidden/>
                          </w:rPr>
                          <w:tab/>
                        </w:r>
                        <w:r w:rsidR="008E0D39">
                          <w:rPr>
                            <w:noProof/>
                            <w:webHidden/>
                          </w:rPr>
                          <w:fldChar w:fldCharType="begin"/>
                        </w:r>
                        <w:r w:rsidR="008E0D39">
                          <w:rPr>
                            <w:noProof/>
                            <w:webHidden/>
                          </w:rPr>
                          <w:instrText xml:space="preserve"> PAGEREF _Toc2557031 \h </w:instrText>
                        </w:r>
                        <w:r w:rsidR="008E0D39">
                          <w:rPr>
                            <w:noProof/>
                            <w:webHidden/>
                          </w:rPr>
                          <w:fldChar w:fldCharType="separate"/>
                        </w:r>
                        <w:r w:rsidR="00F11189">
                          <w:rPr>
                            <w:noProof/>
                            <w:webHidden/>
                          </w:rPr>
                          <w:t>3</w:t>
                        </w:r>
                        <w:r w:rsidR="008E0D39">
                          <w:rPr>
                            <w:noProof/>
                            <w:webHidden/>
                          </w:rPr>
                          <w:fldChar w:fldCharType="end"/>
                        </w:r>
                      </w:hyperlink>
                    </w:p>
                    <w:p w:rsidR="001507A2">
                      <w:pPr>
                        <w:pStyle w:val="TOC1"/>
                        <w:rPr>
                          <w:noProof/>
                          <w:lang w:eastAsia="tr-TR"/>
                        </w:rPr>
                      </w:pPr>
                      <w:hyperlink w:anchor="_Toc2557033" w:history="1">
                        <w:r w:rsidRPr="00F660D2" w:rsidR="008E0D39">
                          <w:rPr>
                            <w:rStyle w:val="Hyperlink"/>
                            <w:noProof/>
                          </w:rPr>
                          <w:t>5</w:t>
                        </w:r>
                        <w:r w:rsidR="008E0D39">
                          <w:rPr>
                            <w:noProof/>
                            <w:lang w:eastAsia="tr-TR"/>
                          </w:rPr>
                          <w:tab/>
                        </w:r>
                        <w:r w:rsidRPr="00F660D2" w:rsidR="008E0D39">
                          <w:rPr>
                            <w:rStyle w:val="Hyperlink"/>
                            <w:noProof/>
                          </w:rPr>
                          <w:t>AMBALAJ VE İŞARETLEME</w:t>
                        </w:r>
                        <w:r w:rsidR="008E0D39">
                          <w:rPr>
                            <w:noProof/>
                            <w:webHidden/>
                          </w:rPr>
                          <w:tab/>
                        </w:r>
                        <w:r w:rsidR="008E0D39">
                          <w:rPr>
                            <w:noProof/>
                            <w:webHidden/>
                          </w:rPr>
                          <w:fldChar w:fldCharType="begin"/>
                        </w:r>
                        <w:r w:rsidR="008E0D39">
                          <w:rPr>
                            <w:noProof/>
                            <w:webHidden/>
                          </w:rPr>
                          <w:instrText xml:space="preserve"> PAGEREF _Toc2557033 \h </w:instrText>
                        </w:r>
                        <w:r w:rsidR="008E0D39">
                          <w:rPr>
                            <w:noProof/>
                            <w:webHidden/>
                          </w:rPr>
                          <w:fldChar w:fldCharType="separate"/>
                        </w:r>
                        <w:r w:rsidR="00F11189">
                          <w:rPr>
                            <w:noProof/>
                            <w:webHidden/>
                          </w:rPr>
                          <w:t>6</w:t>
                        </w:r>
                        <w:r w:rsidR="008E0D39">
                          <w:rPr>
                            <w:noProof/>
                            <w:webHidden/>
                          </w:rPr>
                          <w:fldChar w:fldCharType="end"/>
                        </w:r>
                      </w:hyperlink>
                    </w:p>
                    <w:p w:rsidR="001507A2">
                      <w:pPr>
                        <w:pStyle w:val="TOC1"/>
                        <w:rPr>
                          <w:noProof/>
                          <w:lang w:eastAsia="tr-TR"/>
                        </w:rPr>
                      </w:pPr>
                      <w:hyperlink w:anchor="_Toc2557034" w:history="1">
                        <w:r w:rsidRPr="00F660D2" w:rsidR="008E0D39">
                          <w:rPr>
                            <w:rStyle w:val="Hyperlink"/>
                            <w:noProof/>
                          </w:rPr>
                          <w:t>6</w:t>
                        </w:r>
                        <w:r w:rsidR="00807C34">
                          <w:rPr>
                            <w:noProof/>
                            <w:lang w:eastAsia="tr-TR"/>
                          </w:rPr>
                          <w:tab/>
                          <w:t xml:space="preserve">GARANTİ VE </w:t>
                        </w:r>
                        <w:r w:rsidR="007052FB">
                          <w:rPr>
                            <w:rStyle w:val="Hyperlink"/>
                            <w:noProof/>
                          </w:rPr>
                          <w:t>EK ŞARTLAR</w:t>
                        </w:r>
                        <w:r w:rsidR="008E0D39">
                          <w:rPr>
                            <w:noProof/>
                            <w:webHidden/>
                          </w:rPr>
                          <w:tab/>
                        </w:r>
                        <w:r w:rsidR="008E0D39">
                          <w:rPr>
                            <w:noProof/>
                            <w:webHidden/>
                          </w:rPr>
                          <w:fldChar w:fldCharType="begin"/>
                        </w:r>
                        <w:r w:rsidR="008E0D39">
                          <w:rPr>
                            <w:noProof/>
                            <w:webHidden/>
                          </w:rPr>
                          <w:instrText xml:space="preserve"> PAGEREF _Toc2557034 \h </w:instrText>
                        </w:r>
                        <w:r w:rsidR="008E0D39">
                          <w:rPr>
                            <w:noProof/>
                            <w:webHidden/>
                          </w:rPr>
                          <w:fldChar w:fldCharType="separate"/>
                        </w:r>
                        <w:r w:rsidR="00F11189">
                          <w:rPr>
                            <w:noProof/>
                            <w:webHidden/>
                          </w:rPr>
                          <w:t>7</w:t>
                        </w:r>
                        <w:r w:rsidR="008E0D39">
                          <w:rPr>
                            <w:noProof/>
                            <w:webHidden/>
                          </w:rPr>
                          <w:fldChar w:fldCharType="end"/>
                        </w:r>
                      </w:hyperlink>
                    </w:p>
                    <w:p w:rsidR="0018149E" w:rsidP="004E40B5">
                      <w:pPr>
                        <w:spacing w:after="0" w:line="360" w:lineRule="auto"/>
                        <w:jc w:val="both"/>
                        <w:rPr>
                          <w:noProof/>
                        </w:rPr>
                      </w:pPr>
                      <w:r>
                        <w:rPr>
                          <w:b/>
                          <w:bCs/>
                          <w:noProof/>
                        </w:rPr>
                        <w:fldChar w:fldCharType="end"/>
                      </w:r>
                    </w:p>
                  </w:sdtContent>
                </w:sdt>
              </w:sdtContent>
            </w:sdt>
          </w:sdtContent>
        </w:sdt>
      </w:sdtContent>
    </w:sdt>
    <w:p w:rsidR="002568FF">
      <w:pPr>
        <w:rPr>
          <w:rFonts w:ascii="Arial" w:hAnsi="Arial" w:cs="Arial"/>
          <w:color w:val="000000"/>
          <w:sz w:val="24"/>
          <w:szCs w:val="24"/>
        </w:rPr>
      </w:pPr>
      <w:r>
        <w:br w:type="page"/>
      </w:r>
    </w:p>
    <w:p w:rsidR="0018149E" w:rsidP="00766AB9">
      <w:pPr>
        <w:pStyle w:val="Heading1"/>
        <w:spacing w:before="0" w:after="0" w:line="360" w:lineRule="auto"/>
      </w:pPr>
      <w:bookmarkStart w:id="0" w:name="_Toc497292033"/>
      <w:bookmarkStart w:id="1" w:name="_Toc497321339"/>
      <w:bookmarkStart w:id="2" w:name="_Toc2557028"/>
      <w:r w:rsidRPr="0018149E">
        <w:t>KONU</w:t>
      </w:r>
      <w:bookmarkEnd w:id="0"/>
      <w:bookmarkEnd w:id="1"/>
      <w:bookmarkEnd w:id="2"/>
    </w:p>
    <w:p w:rsidR="00986CDE" w:rsidP="0036638B">
      <w:pPr>
        <w:pStyle w:val="paragraf"/>
      </w:pPr>
    </w:p>
    <w:p w:rsidR="00343DB2" w:rsidRPr="0036638B" w:rsidP="0036638B">
      <w:pPr>
        <w:pStyle w:val="paragraf"/>
        <w:rPr>
          <w:i/>
        </w:rPr>
      </w:pPr>
      <w:r w:rsidRPr="0036638B">
        <w:t>Bu Şartname, TEDAŞ-MLZ/95-007.E şartnamesine ek olarak hazırlanmıştır. Firma, TEDAŞ Malzeme Yönetimi Daire Başkanlığı Şartnamesine ek olarak hazırlanmış UEDAŞ Modüler Hücre Ek Teknik Şartnamesi ve bu şartnamede belirtilen tüm hususlara uymak zorunda ve UEDAŞ Modüler Hücre Ek Teknik Şartnamesinde belirtilmeyen hususlarda ise TEDAŞ Malzeme Yönetimi Daire Başkanlığının ilgili şartnamelerine ve ilgili standartlarına uymak zorundadır.</w:t>
      </w:r>
    </w:p>
    <w:p w:rsidR="00BA4D2A" w:rsidRPr="00B8374E" w:rsidP="0036638B">
      <w:pPr>
        <w:pStyle w:val="paragraf"/>
      </w:pPr>
    </w:p>
    <w:p w:rsidR="0018149E" w:rsidP="00766AB9">
      <w:pPr>
        <w:pStyle w:val="Heading1"/>
        <w:spacing w:before="0" w:after="0" w:line="360" w:lineRule="auto"/>
      </w:pPr>
      <w:bookmarkStart w:id="3" w:name="_Toc497292034"/>
      <w:bookmarkStart w:id="4" w:name="_Toc497321340"/>
      <w:bookmarkStart w:id="5" w:name="_Toc2557029"/>
      <w:r w:rsidRPr="0018149E">
        <w:t>TANIMLAR ve KISALTMALAR</w:t>
      </w:r>
      <w:bookmarkEnd w:id="3"/>
      <w:bookmarkEnd w:id="4"/>
      <w:bookmarkEnd w:id="5"/>
    </w:p>
    <w:p w:rsidR="00986CDE" w:rsidP="00A91F6F">
      <w:pPr>
        <w:spacing w:after="0" w:line="360" w:lineRule="auto"/>
      </w:pPr>
    </w:p>
    <w:p w:rsidR="00A91F6F" w:rsidRPr="0036638B" w:rsidP="00A010DA">
      <w:pPr>
        <w:spacing w:after="0" w:line="360" w:lineRule="auto"/>
        <w:jc w:val="both"/>
        <w:rPr>
          <w:szCs w:val="20"/>
        </w:rPr>
      </w:pPr>
      <w:r w:rsidRPr="0036638B">
        <w:rPr>
          <w:szCs w:val="20"/>
        </w:rPr>
        <w:t>UEDAŞ: Uludağ Elektrik Dağıtım Anonim Şirketi</w:t>
      </w:r>
    </w:p>
    <w:p w:rsidR="00A91F6F" w:rsidRPr="0036638B" w:rsidP="00A010DA">
      <w:pPr>
        <w:spacing w:after="0" w:line="360" w:lineRule="auto"/>
        <w:jc w:val="both"/>
        <w:rPr>
          <w:szCs w:val="20"/>
        </w:rPr>
      </w:pPr>
      <w:r w:rsidRPr="0036638B">
        <w:rPr>
          <w:szCs w:val="20"/>
        </w:rPr>
        <w:t>FİRMA: Ürünü Tedarik Eden</w:t>
      </w:r>
    </w:p>
    <w:p w:rsidR="001C5DD1" w:rsidRPr="0036638B" w:rsidP="00A010DA">
      <w:pPr>
        <w:spacing w:after="0" w:line="360" w:lineRule="auto"/>
        <w:jc w:val="both"/>
        <w:rPr>
          <w:szCs w:val="20"/>
        </w:rPr>
      </w:pPr>
      <w:r w:rsidRPr="0036638B">
        <w:rPr>
          <w:szCs w:val="20"/>
        </w:rPr>
        <w:t>TEDAŞ MYD: TEDAŞ Malzeme Yönetimi Daire Başkanlığı</w:t>
      </w:r>
    </w:p>
    <w:p w:rsidR="00343DB2" w:rsidRPr="00D13D01" w:rsidP="00A010DA">
      <w:pPr>
        <w:spacing w:after="0" w:line="360" w:lineRule="auto"/>
      </w:pPr>
    </w:p>
    <w:p w:rsidR="0018149E" w:rsidP="00766AB9">
      <w:pPr>
        <w:pStyle w:val="Heading1"/>
        <w:spacing w:before="0" w:after="0" w:line="360" w:lineRule="auto"/>
      </w:pPr>
      <w:bookmarkStart w:id="6" w:name="_Toc375215078"/>
      <w:bookmarkStart w:id="7" w:name="_Toc497292037"/>
      <w:bookmarkStart w:id="8" w:name="_Toc497321343"/>
      <w:bookmarkStart w:id="9" w:name="_Toc2557030"/>
      <w:bookmarkStart w:id="10" w:name="_Toc375146339"/>
      <w:bookmarkStart w:id="11" w:name="_Toc375146504"/>
      <w:r w:rsidRPr="0018149E">
        <w:t>TEKNİK ÖZELLİKLER</w:t>
      </w:r>
      <w:bookmarkEnd w:id="6"/>
      <w:bookmarkEnd w:id="7"/>
      <w:bookmarkEnd w:id="8"/>
      <w:bookmarkEnd w:id="9"/>
      <w:r w:rsidRPr="0018149E">
        <w:t xml:space="preserve"> </w:t>
      </w:r>
      <w:bookmarkEnd w:id="10"/>
      <w:bookmarkEnd w:id="11"/>
    </w:p>
    <w:p w:rsidR="00864A89" w:rsidP="00864A89">
      <w:pPr>
        <w:pStyle w:val="Heading2"/>
        <w:numPr>
          <w:ilvl w:val="1"/>
          <w:numId w:val="1"/>
        </w:numPr>
      </w:pPr>
      <w:bookmarkStart w:id="12" w:name="_Toc2557031"/>
      <w:r w:rsidRPr="00B1278A">
        <w:t>TASARIM VE YAPISAL ÖZELLİKLER</w:t>
      </w:r>
      <w:bookmarkEnd w:id="12"/>
    </w:p>
    <w:p w:rsidR="002A1EED" w:rsidP="002A1EED">
      <w:pPr>
        <w:ind w:left="576"/>
        <w:rPr>
          <w:rFonts w:eastAsiaTheme="majorEastAsia" w:cstheme="majorBidi"/>
          <w:b/>
          <w:bCs/>
          <w:color w:val="000000" w:themeColor="text1"/>
          <w:sz w:val="20"/>
          <w:szCs w:val="20"/>
        </w:rPr>
      </w:pPr>
    </w:p>
    <w:p w:rsidR="002A1EED" w:rsidRPr="0036638B" w:rsidP="002A1EED">
      <w:pPr>
        <w:ind w:left="576" w:firstLine="132"/>
        <w:rPr>
          <w:rFonts w:eastAsiaTheme="majorEastAsia" w:cstheme="majorBidi"/>
          <w:b/>
          <w:bCs/>
          <w:color w:val="000000" w:themeColor="text1"/>
          <w:szCs w:val="20"/>
        </w:rPr>
      </w:pPr>
      <w:r w:rsidRPr="0036638B">
        <w:rPr>
          <w:rFonts w:eastAsiaTheme="majorEastAsia" w:cstheme="majorBidi"/>
          <w:b/>
          <w:bCs/>
          <w:color w:val="000000" w:themeColor="text1"/>
          <w:szCs w:val="20"/>
        </w:rPr>
        <w:t>Röle Modeli</w:t>
      </w:r>
    </w:p>
    <w:p w:rsidR="002A1EED" w:rsidRPr="0036638B" w:rsidP="002A1EED">
      <w:pPr>
        <w:rPr>
          <w:rFonts w:eastAsiaTheme="majorEastAsia" w:cstheme="majorBidi"/>
          <w:bCs/>
          <w:color w:val="000000" w:themeColor="text1"/>
          <w:szCs w:val="20"/>
        </w:rPr>
      </w:pPr>
      <w:r w:rsidRPr="0036638B">
        <w:rPr>
          <w:rFonts w:eastAsiaTheme="majorEastAsia" w:cstheme="majorBidi"/>
          <w:bCs/>
          <w:color w:val="000000" w:themeColor="text1"/>
          <w:szCs w:val="20"/>
        </w:rPr>
        <w:t>1. MiCOM               P123</w:t>
      </w:r>
    </w:p>
    <w:p w:rsidR="002A1EED" w:rsidRPr="0036638B" w:rsidP="002A1EED">
      <w:pPr>
        <w:rPr>
          <w:rFonts w:eastAsiaTheme="majorEastAsia" w:cstheme="majorBidi"/>
          <w:bCs/>
          <w:color w:val="000000" w:themeColor="text1"/>
          <w:szCs w:val="20"/>
        </w:rPr>
      </w:pPr>
      <w:r w:rsidRPr="0036638B">
        <w:rPr>
          <w:rFonts w:eastAsiaTheme="majorEastAsia" w:cstheme="majorBidi"/>
          <w:bCs/>
          <w:color w:val="000000" w:themeColor="text1"/>
          <w:szCs w:val="20"/>
        </w:rPr>
        <w:t>2. PNC                     PAC-E100</w:t>
      </w:r>
    </w:p>
    <w:p w:rsidR="002A1EED" w:rsidRPr="0036638B" w:rsidP="002A1EED">
      <w:pPr>
        <w:rPr>
          <w:rFonts w:eastAsiaTheme="majorEastAsia" w:cstheme="majorBidi"/>
          <w:bCs/>
          <w:color w:val="000000" w:themeColor="text1"/>
          <w:szCs w:val="20"/>
        </w:rPr>
      </w:pPr>
      <w:r w:rsidRPr="0036638B">
        <w:rPr>
          <w:rFonts w:eastAsiaTheme="majorEastAsia" w:cstheme="majorBidi"/>
          <w:bCs/>
          <w:color w:val="000000" w:themeColor="text1"/>
          <w:szCs w:val="20"/>
        </w:rPr>
        <w:t>3. THYTRONIC       ProNA 011</w:t>
      </w:r>
    </w:p>
    <w:p w:rsidR="002A1EED" w:rsidRPr="0036638B" w:rsidP="002A1EED">
      <w:pPr>
        <w:rPr>
          <w:rFonts w:eastAsiaTheme="majorEastAsia" w:cstheme="majorBidi"/>
          <w:bCs/>
          <w:color w:val="000000" w:themeColor="text1"/>
          <w:szCs w:val="20"/>
        </w:rPr>
      </w:pPr>
      <w:r w:rsidRPr="0036638B">
        <w:rPr>
          <w:rFonts w:eastAsiaTheme="majorEastAsia" w:cstheme="majorBidi"/>
          <w:bCs/>
          <w:color w:val="000000" w:themeColor="text1"/>
          <w:szCs w:val="20"/>
        </w:rPr>
        <w:t>4. ABB                     REF 615</w:t>
      </w:r>
    </w:p>
    <w:p w:rsidR="002A1EED" w:rsidRPr="0036638B" w:rsidP="002A1EED">
      <w:pPr>
        <w:rPr>
          <w:rFonts w:eastAsiaTheme="majorEastAsia" w:cstheme="majorBidi"/>
          <w:bCs/>
          <w:color w:val="000000" w:themeColor="text1"/>
          <w:szCs w:val="20"/>
        </w:rPr>
      </w:pPr>
      <w:r w:rsidRPr="0036638B">
        <w:rPr>
          <w:rFonts w:eastAsiaTheme="majorEastAsia" w:cstheme="majorBidi"/>
          <w:bCs/>
          <w:color w:val="000000" w:themeColor="text1"/>
          <w:szCs w:val="20"/>
        </w:rPr>
        <w:t xml:space="preserve">5. SIEMENS </w:t>
        <w:tab/>
        <w:t xml:space="preserve"> 7SR10</w:t>
      </w:r>
    </w:p>
    <w:p w:rsidR="002A1EED" w:rsidRPr="0036638B" w:rsidP="002A1EED">
      <w:pPr>
        <w:rPr>
          <w:rFonts w:eastAsiaTheme="majorEastAsia" w:cstheme="majorBidi"/>
          <w:bCs/>
          <w:color w:val="000000" w:themeColor="text1"/>
          <w:szCs w:val="20"/>
        </w:rPr>
      </w:pPr>
      <w:r w:rsidRPr="0036638B">
        <w:rPr>
          <w:rFonts w:eastAsiaTheme="majorEastAsia" w:cstheme="majorBidi"/>
          <w:bCs/>
          <w:color w:val="000000" w:themeColor="text1"/>
          <w:szCs w:val="20"/>
        </w:rPr>
        <w:t xml:space="preserve">6. FANOX </w:t>
        <w:tab/>
        <w:t xml:space="preserve"> SIL-A (LPCT hariç)</w:t>
      </w:r>
    </w:p>
    <w:p w:rsidR="004543C7" w:rsidP="002A1EED">
      <w:pPr>
        <w:rPr>
          <w:rFonts w:eastAsiaTheme="majorEastAsia" w:cstheme="majorBidi"/>
          <w:bCs/>
          <w:color w:val="000000" w:themeColor="text1"/>
          <w:sz w:val="20"/>
          <w:szCs w:val="20"/>
        </w:rPr>
      </w:pPr>
    </w:p>
    <w:p w:rsidR="000B5ECD" w:rsidP="00A010DA">
      <w:pPr>
        <w:spacing w:after="0" w:line="360" w:lineRule="auto"/>
        <w:jc w:val="both"/>
        <w:rPr>
          <w:rFonts w:eastAsiaTheme="majorEastAsia" w:cstheme="majorBidi"/>
          <w:b/>
          <w:bCs/>
          <w:color w:val="000000" w:themeColor="text1"/>
          <w:sz w:val="20"/>
          <w:szCs w:val="20"/>
        </w:rPr>
      </w:pPr>
      <w:r w:rsidRPr="00D21E5D">
        <w:rPr>
          <w:rFonts w:eastAsiaTheme="majorEastAsia" w:cstheme="majorBidi"/>
          <w:b/>
          <w:bCs/>
          <w:color w:val="000000" w:themeColor="text1"/>
          <w:sz w:val="20"/>
          <w:szCs w:val="20"/>
        </w:rPr>
        <w:tab/>
      </w:r>
    </w:p>
    <w:p w:rsidR="00F468D4" w:rsidRPr="0036638B" w:rsidP="0036638B">
      <w:pPr>
        <w:rPr>
          <w:rFonts w:eastAsiaTheme="majorEastAsia" w:cstheme="majorBidi"/>
          <w:b/>
          <w:bCs/>
          <w:color w:val="000000" w:themeColor="text1"/>
          <w:szCs w:val="20"/>
        </w:rPr>
      </w:pPr>
      <w:r>
        <w:rPr>
          <w:rFonts w:eastAsiaTheme="majorEastAsia" w:cstheme="majorBidi"/>
          <w:b/>
          <w:bCs/>
          <w:color w:val="000000" w:themeColor="text1"/>
          <w:sz w:val="20"/>
          <w:szCs w:val="20"/>
        </w:rPr>
        <w:br w:type="page"/>
      </w:r>
      <w:r w:rsidRPr="0036638B" w:rsidR="008E0D39">
        <w:rPr>
          <w:rFonts w:eastAsiaTheme="majorEastAsia" w:cstheme="majorBidi"/>
          <w:b/>
          <w:bCs/>
          <w:color w:val="000000" w:themeColor="text1"/>
          <w:szCs w:val="20"/>
        </w:rPr>
        <w:t xml:space="preserve">Akım Trafosu </w:t>
      </w:r>
    </w:p>
    <w:p w:rsidR="00F468D4" w:rsidRPr="0036638B" w:rsidP="00A010DA">
      <w:pPr>
        <w:spacing w:after="0" w:line="360" w:lineRule="auto"/>
        <w:ind w:left="284"/>
        <w:jc w:val="both"/>
        <w:rPr>
          <w:rFonts w:eastAsiaTheme="majorEastAsia" w:cstheme="majorBidi"/>
          <w:bCs/>
          <w:color w:val="000000" w:themeColor="text1"/>
          <w:szCs w:val="20"/>
          <w:u w:val="single"/>
        </w:rPr>
      </w:pPr>
      <w:r w:rsidRPr="0036638B">
        <w:rPr>
          <w:rFonts w:eastAsiaTheme="majorEastAsia" w:cstheme="majorBidi"/>
          <w:bCs/>
          <w:color w:val="000000" w:themeColor="text1"/>
          <w:szCs w:val="20"/>
        </w:rPr>
        <w:t>-</w:t>
        <w:tab/>
        <w:t xml:space="preserve">Akım trafosu aşağıda belirtilen özelliklere sahip olacak ve LPCT akım trafosu </w:t>
      </w:r>
      <w:r w:rsidRPr="0036638B">
        <w:rPr>
          <w:rFonts w:eastAsiaTheme="majorEastAsia" w:cstheme="majorBidi"/>
          <w:bCs/>
          <w:color w:val="000000" w:themeColor="text1"/>
          <w:szCs w:val="20"/>
          <w:u w:val="single"/>
        </w:rPr>
        <w:t>olmayacaktır.</w:t>
      </w:r>
    </w:p>
    <w:p w:rsidR="00F468D4"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 xml:space="preserve">Tip: Çift Primer – Çift Sekonder </w:t>
      </w:r>
    </w:p>
    <w:p w:rsidR="00F468D4"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Mesnet tipi veya Toroidal</w:t>
      </w:r>
    </w:p>
    <w:p w:rsidR="00F468D4"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Akım trafo oranı= 300-600/5-5</w:t>
      </w:r>
    </w:p>
    <w:p w:rsidR="00F468D4"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Ith =  100*In</w:t>
      </w:r>
    </w:p>
    <w:p w:rsidR="00F468D4"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Idyn= 2,5*Ith</w:t>
      </w:r>
    </w:p>
    <w:p w:rsidR="00F468D4"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Güç= 15+15 VA</w:t>
      </w:r>
    </w:p>
    <w:p w:rsidR="00F468D4"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 xml:space="preserve">Koruma Çekirdeği : 5 P 20 </w:t>
      </w:r>
    </w:p>
    <w:p w:rsidR="00A31F3B"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 xml:space="preserve">Ölçü Çekirdeği : Cl:0,2  Fs 5 </w:t>
      </w:r>
    </w:p>
    <w:p w:rsidR="00A010DA" w:rsidRPr="0036638B" w:rsidP="00F468D4">
      <w:pPr>
        <w:rPr>
          <w:rFonts w:eastAsiaTheme="majorEastAsia" w:cstheme="majorBidi"/>
          <w:bCs/>
          <w:color w:val="000000" w:themeColor="text1"/>
          <w:szCs w:val="20"/>
        </w:rPr>
      </w:pPr>
    </w:p>
    <w:p w:rsidR="00A873CD" w:rsidRPr="0036638B" w:rsidP="00A010DA">
      <w:pPr>
        <w:spacing w:after="0" w:line="360" w:lineRule="auto"/>
        <w:rPr>
          <w:rFonts w:eastAsiaTheme="majorEastAsia" w:cstheme="majorBidi"/>
          <w:b/>
          <w:bCs/>
          <w:color w:val="000000" w:themeColor="text1"/>
          <w:szCs w:val="20"/>
        </w:rPr>
      </w:pPr>
      <w:r w:rsidRPr="0036638B">
        <w:rPr>
          <w:rFonts w:eastAsiaTheme="majorEastAsia" w:cstheme="majorBidi"/>
          <w:b/>
          <w:bCs/>
          <w:color w:val="000000" w:themeColor="text1"/>
          <w:szCs w:val="20"/>
        </w:rPr>
        <w:tab/>
        <w:t>Gerilim Trafosu</w:t>
      </w:r>
    </w:p>
    <w:p w:rsidR="00A873CD" w:rsidRPr="0036638B" w:rsidP="00A010DA">
      <w:pPr>
        <w:spacing w:after="0" w:line="360" w:lineRule="auto"/>
        <w:jc w:val="both"/>
        <w:rPr>
          <w:rFonts w:eastAsiaTheme="majorEastAsia" w:cstheme="majorBidi"/>
          <w:bCs/>
          <w:color w:val="000000" w:themeColor="text1"/>
          <w:szCs w:val="20"/>
        </w:rPr>
      </w:pPr>
      <w:r w:rsidRPr="0036638B">
        <w:rPr>
          <w:rFonts w:eastAsiaTheme="majorEastAsia" w:cstheme="majorBidi"/>
          <w:bCs/>
          <w:color w:val="000000" w:themeColor="text1"/>
          <w:szCs w:val="20"/>
        </w:rPr>
        <w:t>Ölçü hücrelerinde ve dahili olarak kullanılacak olan Gerilim Trafoları Çift sekonderli olup ölçü veya duruma göre ölçü+iç ihtiyaç  için kullanılacaktır.</w:t>
      </w:r>
    </w:p>
    <w:p w:rsidR="00A873CD" w:rsidRPr="0036638B" w:rsidP="00A010DA">
      <w:pPr>
        <w:spacing w:after="0" w:line="360" w:lineRule="auto"/>
        <w:jc w:val="both"/>
        <w:rPr>
          <w:rFonts w:eastAsiaTheme="majorEastAsia" w:cstheme="majorBidi"/>
          <w:bCs/>
          <w:color w:val="000000" w:themeColor="text1"/>
          <w:szCs w:val="20"/>
        </w:rPr>
      </w:pPr>
      <w:r w:rsidRPr="0036638B">
        <w:rPr>
          <w:rFonts w:eastAsiaTheme="majorEastAsia" w:cstheme="majorBidi"/>
          <w:bCs/>
          <w:color w:val="000000" w:themeColor="text1"/>
          <w:szCs w:val="20"/>
        </w:rPr>
        <w:t>Gerilim Trafosu aşağıda belirtilen özelliklerde olacaktır.</w:t>
      </w:r>
    </w:p>
    <w:p w:rsidR="00A873CD" w:rsidRPr="0036638B" w:rsidP="00A010DA">
      <w:pPr>
        <w:spacing w:after="0" w:line="360" w:lineRule="auto"/>
        <w:ind w:left="284"/>
        <w:jc w:val="both"/>
        <w:rPr>
          <w:rFonts w:eastAsiaTheme="majorEastAsia" w:cstheme="majorBidi"/>
          <w:bCs/>
          <w:color w:val="000000" w:themeColor="text1"/>
          <w:szCs w:val="20"/>
        </w:rPr>
      </w:pPr>
      <w:r w:rsidRPr="0036638B" w:rsidR="008E0D39">
        <w:rPr>
          <w:rFonts w:eastAsiaTheme="majorEastAsia" w:cstheme="majorBidi"/>
          <w:bCs/>
          <w:color w:val="000000" w:themeColor="text1"/>
          <w:szCs w:val="20"/>
        </w:rPr>
        <w:t>-</w:t>
        <w:tab/>
        <w:t>Gücü  (Ölçü/İç İhtiyaç) : 60+800 VA</w:t>
      </w:r>
    </w:p>
    <w:p w:rsidR="00A873CD"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Sınıfı: CL:0,5</w:t>
      </w:r>
    </w:p>
    <w:p w:rsidR="00A873CD" w:rsidRPr="0036638B" w:rsidP="00DA43B0">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Çevirme Oranı : 34,5/v3-0,1/v3- 0,22 kV.</w:t>
      </w:r>
    </w:p>
    <w:p w:rsidR="009C2C38" w:rsidP="009C2C38">
      <w:pPr>
        <w:spacing w:after="0" w:line="360" w:lineRule="auto"/>
        <w:ind w:firstLine="708"/>
        <w:rPr>
          <w:rFonts w:eastAsiaTheme="majorEastAsia" w:cstheme="majorBidi"/>
          <w:b/>
          <w:bCs/>
          <w:color w:val="000000" w:themeColor="text1"/>
          <w:sz w:val="20"/>
          <w:szCs w:val="20"/>
        </w:rPr>
      </w:pPr>
    </w:p>
    <w:p w:rsidR="00C2652E" w:rsidRPr="0036638B" w:rsidP="009C2C38">
      <w:pPr>
        <w:spacing w:after="0" w:line="360" w:lineRule="auto"/>
        <w:ind w:firstLine="708"/>
        <w:rPr>
          <w:rFonts w:eastAsiaTheme="majorEastAsia" w:cstheme="majorBidi"/>
          <w:b/>
          <w:bCs/>
          <w:color w:val="000000" w:themeColor="text1"/>
          <w:szCs w:val="20"/>
        </w:rPr>
      </w:pPr>
      <w:r w:rsidRPr="0036638B">
        <w:rPr>
          <w:rFonts w:eastAsiaTheme="majorEastAsia" w:cstheme="majorBidi"/>
          <w:b/>
          <w:bCs/>
          <w:color w:val="000000" w:themeColor="text1"/>
          <w:szCs w:val="20"/>
        </w:rPr>
        <w:t>OG Sigortaları</w:t>
      </w:r>
    </w:p>
    <w:p w:rsidR="00C2652E" w:rsidRPr="0036638B" w:rsidP="00C2652E">
      <w:pPr>
        <w:jc w:val="both"/>
        <w:rPr>
          <w:rFonts w:eastAsiaTheme="majorEastAsia" w:cstheme="majorBidi"/>
          <w:bCs/>
          <w:color w:val="000000" w:themeColor="text1"/>
          <w:szCs w:val="20"/>
        </w:rPr>
      </w:pPr>
      <w:r w:rsidRPr="0036638B">
        <w:rPr>
          <w:rFonts w:eastAsiaTheme="majorEastAsia" w:cstheme="majorBidi"/>
          <w:bCs/>
          <w:color w:val="000000" w:themeColor="text1"/>
          <w:szCs w:val="20"/>
        </w:rPr>
        <w:t>TEDAŞ Malzeme Yönetimi Daire Başkanlığı Şartnamelerine ve UEDAŞ Ek teknik şartnamelerine uygun olmalıdır.</w:t>
      </w:r>
    </w:p>
    <w:p w:rsidR="009C2C38" w:rsidRPr="0036638B" w:rsidP="00C2652E">
      <w:pPr>
        <w:jc w:val="both"/>
        <w:rPr>
          <w:rFonts w:eastAsiaTheme="majorEastAsia" w:cstheme="majorBidi"/>
          <w:bCs/>
          <w:color w:val="000000" w:themeColor="text1"/>
          <w:szCs w:val="20"/>
        </w:rPr>
      </w:pPr>
    </w:p>
    <w:p w:rsidR="007228A1" w:rsidRPr="0036638B" w:rsidP="00A010DA">
      <w:pPr>
        <w:spacing w:after="0" w:line="360" w:lineRule="auto"/>
        <w:ind w:left="284"/>
        <w:jc w:val="both"/>
        <w:rPr>
          <w:rFonts w:eastAsiaTheme="majorEastAsia" w:cstheme="majorBidi"/>
          <w:b/>
          <w:bCs/>
          <w:color w:val="000000" w:themeColor="text1"/>
          <w:szCs w:val="20"/>
        </w:rPr>
      </w:pPr>
      <w:r w:rsidRPr="0036638B">
        <w:rPr>
          <w:rFonts w:eastAsiaTheme="majorEastAsia" w:cstheme="majorBidi"/>
          <w:b/>
          <w:bCs/>
          <w:color w:val="000000" w:themeColor="text1"/>
          <w:szCs w:val="20"/>
        </w:rPr>
        <w:tab/>
        <w:t>Trafo gücü, kesici bobin ve motor gerilimleri</w:t>
      </w:r>
    </w:p>
    <w:p w:rsidR="008D2F4E"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Koruma yapılacak trafo gücü 630 kVA olacaktır.</w:t>
      </w:r>
    </w:p>
    <w:p w:rsidR="008D2F4E"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Kesici bobin gerilimleri verilen siparişe uygun olarak 24V DC veya 110V DC olacaktır.</w:t>
      </w:r>
    </w:p>
    <w:p w:rsidR="00C22119"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Kesici motor gerilimleri 220 V AC olacaktır.</w:t>
      </w:r>
    </w:p>
    <w:p w:rsidR="008716B1" w:rsidRPr="0036638B" w:rsidP="00A010DA">
      <w:pPr>
        <w:spacing w:after="0" w:line="360" w:lineRule="auto"/>
        <w:ind w:left="284"/>
        <w:jc w:val="both"/>
        <w:rPr>
          <w:rFonts w:eastAsiaTheme="majorEastAsia" w:cstheme="majorBidi"/>
          <w:bCs/>
          <w:color w:val="000000" w:themeColor="text1"/>
          <w:szCs w:val="20"/>
        </w:rPr>
      </w:pPr>
      <w:r w:rsidRPr="0036638B">
        <w:rPr>
          <w:rFonts w:eastAsiaTheme="majorEastAsia" w:cstheme="majorBidi"/>
          <w:bCs/>
          <w:color w:val="000000" w:themeColor="text1"/>
          <w:szCs w:val="20"/>
        </w:rPr>
        <w:t>-</w:t>
        <w:tab/>
        <w:t>Her kesici için yedek olarak açma-kapama bobini, kurma motoru ve anti pompaj rölesi verilecektir.</w:t>
      </w:r>
    </w:p>
    <w:p w:rsidR="009D3F5A" w:rsidP="00A010DA">
      <w:pPr>
        <w:spacing w:after="0" w:line="360" w:lineRule="auto"/>
        <w:jc w:val="both"/>
        <w:rPr>
          <w:rFonts w:eastAsiaTheme="majorEastAsia" w:cstheme="majorBidi"/>
          <w:bCs/>
          <w:color w:val="000000" w:themeColor="text1"/>
          <w:sz w:val="20"/>
          <w:szCs w:val="20"/>
        </w:rPr>
      </w:pPr>
    </w:p>
    <w:p w:rsidR="00A873CD" w:rsidRPr="0036638B" w:rsidP="00A010DA">
      <w:pPr>
        <w:spacing w:after="0" w:line="360" w:lineRule="auto"/>
        <w:jc w:val="both"/>
        <w:rPr>
          <w:rFonts w:eastAsiaTheme="majorEastAsia" w:cstheme="majorBidi"/>
          <w:bCs/>
          <w:color w:val="000000" w:themeColor="text1"/>
          <w:szCs w:val="20"/>
        </w:rPr>
      </w:pPr>
      <w:r w:rsidRPr="0036638B">
        <w:rPr>
          <w:rFonts w:eastAsiaTheme="majorEastAsia" w:cstheme="majorBidi"/>
          <w:bCs/>
          <w:color w:val="000000" w:themeColor="text1"/>
          <w:szCs w:val="20"/>
        </w:rPr>
        <w:t>YG hava yalıtımlı metal mahfazalı modüler anahtarlama ve kontrol düzenlerinde kullanılan SF6 gazı yalıtımlı Yük ayırıcı/ayırıcılarda SF6 gazının basınç değerlerini gösteren Gaz Basıncı Göstergesi / Basınç Sensörü bulunacaktır.</w:t>
      </w:r>
    </w:p>
    <w:p w:rsidR="00A873CD" w:rsidRPr="0036638B" w:rsidP="00A010DA">
      <w:pPr>
        <w:spacing w:after="0" w:line="360" w:lineRule="auto"/>
        <w:jc w:val="both"/>
        <w:rPr>
          <w:rFonts w:eastAsiaTheme="majorEastAsia" w:cstheme="majorBidi"/>
          <w:bCs/>
          <w:color w:val="000000" w:themeColor="text1"/>
          <w:szCs w:val="20"/>
        </w:rPr>
      </w:pPr>
      <w:r w:rsidRPr="0036638B">
        <w:rPr>
          <w:rFonts w:eastAsiaTheme="majorEastAsia" w:cstheme="majorBidi"/>
          <w:bCs/>
          <w:color w:val="000000" w:themeColor="text1"/>
          <w:szCs w:val="20"/>
        </w:rPr>
        <w:t>İlgili şartnamede yer alan özelliklerdeki  “malzeme listesi”, UEDAŞ’ ın onayından geçtikten sonra Satın Alma Bölümü tarafından malzeme siparişi verilecektir. FİRMA tarafından UEDAŞ’ a onaylatılmadan üretilen malzeme uygun görülmediği takdirde kabul edilmeyecektir.</w:t>
      </w:r>
    </w:p>
    <w:p w:rsidR="00A873CD" w:rsidRPr="0036638B" w:rsidP="00A010DA">
      <w:pPr>
        <w:spacing w:after="0" w:line="360" w:lineRule="auto"/>
        <w:jc w:val="both"/>
        <w:rPr>
          <w:rFonts w:eastAsiaTheme="majorEastAsia" w:cstheme="majorBidi"/>
          <w:bCs/>
          <w:color w:val="000000" w:themeColor="text1"/>
          <w:szCs w:val="20"/>
        </w:rPr>
      </w:pPr>
      <w:r w:rsidRPr="0036638B">
        <w:rPr>
          <w:rFonts w:eastAsiaTheme="majorEastAsia" w:cstheme="majorBidi"/>
          <w:bCs/>
          <w:color w:val="000000" w:themeColor="text1"/>
          <w:szCs w:val="20"/>
        </w:rPr>
        <w:t>Malzemelerin sevkiyatı UEDAŞ’ tan OLUR alındıktan sonra yapılacaktır.</w:t>
      </w:r>
    </w:p>
    <w:p w:rsidR="00396A23" w:rsidRPr="0036638B" w:rsidP="00A010DA">
      <w:pPr>
        <w:spacing w:after="0" w:line="360" w:lineRule="auto"/>
        <w:jc w:val="both"/>
        <w:rPr>
          <w:rFonts w:eastAsiaTheme="majorEastAsia" w:cstheme="majorBidi"/>
          <w:bCs/>
          <w:color w:val="000000" w:themeColor="text1"/>
          <w:sz w:val="24"/>
          <w:szCs w:val="20"/>
        </w:rPr>
      </w:pPr>
    </w:p>
    <w:p w:rsidR="00A873CD" w:rsidRPr="0036638B" w:rsidP="00A010DA">
      <w:pPr>
        <w:spacing w:after="0" w:line="360" w:lineRule="auto"/>
        <w:jc w:val="both"/>
        <w:rPr>
          <w:rFonts w:eastAsiaTheme="majorEastAsia" w:cstheme="majorBidi"/>
          <w:b/>
          <w:bCs/>
          <w:color w:val="000000" w:themeColor="text1"/>
          <w:szCs w:val="20"/>
        </w:rPr>
      </w:pPr>
      <w:r w:rsidRPr="0036638B">
        <w:rPr>
          <w:rFonts w:eastAsiaTheme="majorEastAsia" w:cstheme="majorBidi"/>
          <w:b/>
          <w:bCs/>
          <w:color w:val="000000" w:themeColor="text1"/>
          <w:szCs w:val="20"/>
        </w:rPr>
        <w:tab/>
        <w:t>Enerji Analizörleri</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EA’dan en az aşağıdaki bilgiler okunacaktır;</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Faz-Nötr Gerilimleri</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Faz-Faz Gerilimleri</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Faz Akımları</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Nötr Akımı</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Güç Faktörü</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Cosµ</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Frekans</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Aktif Güç (P)</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Reaktif Güç (Q)</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Görünür Güç ( S)</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Demand  (15 dakikalık)</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THD %I</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THD %V</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Akım ve Gerilim için 51’ci harmoniğe kadar tek ve çift ölçüm yapmalı.</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Akım ve Gerilim harmoniklerin RMS değerlerinin ölçümü yapılmalı.</w:t>
      </w:r>
    </w:p>
    <w:p w:rsidR="003906C0" w:rsidRPr="0036638B" w:rsidP="003906C0">
      <w:pPr>
        <w:rPr>
          <w:rFonts w:eastAsiaTheme="majorEastAsia" w:cstheme="majorBidi"/>
          <w:bCs/>
          <w:color w:val="000000" w:themeColor="text1"/>
          <w:szCs w:val="20"/>
        </w:rPr>
      </w:pPr>
      <w:r w:rsidRPr="0036638B">
        <w:rPr>
          <w:rFonts w:eastAsiaTheme="majorEastAsia" w:cstheme="majorBidi"/>
          <w:bCs/>
          <w:color w:val="000000" w:themeColor="text1"/>
          <w:szCs w:val="20"/>
        </w:rPr>
        <w:t>•</w:t>
        <w:tab/>
        <w:t>MODBUS/RS485 veya MODBUS/TCP protokolleri desteklemesi.</w:t>
      </w:r>
    </w:p>
    <w:p w:rsidR="00FC3B86" w:rsidP="003906C0">
      <w:pPr>
        <w:rPr>
          <w:rFonts w:eastAsiaTheme="majorEastAsia" w:cstheme="majorBidi"/>
          <w:bCs/>
          <w:color w:val="000000" w:themeColor="text1"/>
          <w:szCs w:val="20"/>
        </w:rPr>
      </w:pPr>
    </w:p>
    <w:p w:rsidR="0036638B" w:rsidRPr="0036638B" w:rsidP="003906C0">
      <w:pPr>
        <w:rPr>
          <w:rFonts w:eastAsiaTheme="majorEastAsia" w:cstheme="majorBidi"/>
          <w:bCs/>
          <w:color w:val="000000" w:themeColor="text1"/>
          <w:szCs w:val="20"/>
        </w:rPr>
      </w:pPr>
    </w:p>
    <w:p w:rsidR="00A873CD" w:rsidRPr="0036638B" w:rsidP="00A010DA">
      <w:pPr>
        <w:spacing w:after="0" w:line="360" w:lineRule="auto"/>
        <w:jc w:val="both"/>
        <w:rPr>
          <w:rFonts w:eastAsiaTheme="majorEastAsia" w:cstheme="majorBidi"/>
          <w:b/>
          <w:bCs/>
          <w:color w:val="000000" w:themeColor="text1"/>
          <w:szCs w:val="20"/>
        </w:rPr>
      </w:pPr>
      <w:r w:rsidRPr="0036638B">
        <w:rPr>
          <w:rFonts w:eastAsiaTheme="majorEastAsia" w:cstheme="majorBidi"/>
          <w:b/>
          <w:bCs/>
          <w:color w:val="000000" w:themeColor="text1"/>
          <w:szCs w:val="20"/>
        </w:rPr>
        <w:tab/>
        <w:t>Arıza Gösterge Düzeni</w:t>
      </w:r>
    </w:p>
    <w:p w:rsidR="00BB3086" w:rsidRPr="0036638B" w:rsidP="00F67A96">
      <w:pPr>
        <w:spacing w:after="0" w:line="360" w:lineRule="auto"/>
        <w:jc w:val="both"/>
        <w:rPr>
          <w:rFonts w:eastAsiaTheme="majorEastAsia" w:cstheme="majorBidi"/>
          <w:bCs/>
          <w:color w:val="000000" w:themeColor="text1"/>
          <w:szCs w:val="20"/>
        </w:rPr>
      </w:pPr>
      <w:r w:rsidRPr="0036638B">
        <w:rPr>
          <w:rFonts w:eastAsiaTheme="majorEastAsia" w:cstheme="majorBidi"/>
          <w:bCs/>
          <w:color w:val="000000" w:themeColor="text1"/>
          <w:szCs w:val="20"/>
        </w:rPr>
        <w:t xml:space="preserve">Arıza gösterge düzeni </w:t>
      </w:r>
      <w:r w:rsidRPr="0036638B">
        <w:rPr>
          <w:rFonts w:eastAsiaTheme="majorEastAsia" w:cstheme="majorBidi"/>
          <w:bCs/>
          <w:color w:val="000000" w:themeColor="text1"/>
          <w:szCs w:val="20"/>
          <w:u w:val="single"/>
        </w:rPr>
        <w:t>istenmemektedir</w:t>
      </w:r>
      <w:r w:rsidRPr="0036638B">
        <w:rPr>
          <w:rFonts w:eastAsiaTheme="majorEastAsia" w:cstheme="majorBidi"/>
          <w:bCs/>
          <w:color w:val="000000" w:themeColor="text1"/>
          <w:szCs w:val="20"/>
        </w:rPr>
        <w:t>.</w:t>
      </w:r>
    </w:p>
    <w:p w:rsidR="00BB3086">
      <w:pPr>
        <w:rPr>
          <w:rFonts w:eastAsiaTheme="majorEastAsia" w:cstheme="majorBidi"/>
          <w:bCs/>
          <w:color w:val="000000" w:themeColor="text1"/>
          <w:sz w:val="20"/>
          <w:szCs w:val="20"/>
        </w:rPr>
      </w:pPr>
    </w:p>
    <w:p w:rsidR="0018149E" w:rsidRPr="00D13D01" w:rsidP="00766AB9">
      <w:pPr>
        <w:pStyle w:val="ListParagraph"/>
        <w:keepNext/>
        <w:keepLines/>
        <w:numPr>
          <w:ilvl w:val="1"/>
          <w:numId w:val="5"/>
        </w:numPr>
        <w:spacing w:after="0" w:line="360" w:lineRule="auto"/>
        <w:ind w:right="142"/>
        <w:contextualSpacing w:val="0"/>
        <w:jc w:val="both"/>
        <w:outlineLvl w:val="0"/>
        <w:rPr>
          <w:rFonts w:ascii="Arial" w:hAnsi="Arial" w:cs="Arial"/>
          <w:b/>
          <w:vanish/>
          <w:kern w:val="28"/>
        </w:rPr>
      </w:pPr>
      <w:bookmarkStart w:id="13" w:name="_Toc497321280"/>
      <w:bookmarkStart w:id="14" w:name="_Toc497321347"/>
      <w:bookmarkStart w:id="15" w:name="_Toc2557032"/>
      <w:bookmarkEnd w:id="13"/>
      <w:bookmarkEnd w:id="14"/>
      <w:bookmarkEnd w:id="15"/>
    </w:p>
    <w:p w:rsidR="0018149E" w:rsidP="00766AB9">
      <w:pPr>
        <w:pStyle w:val="Heading1"/>
        <w:spacing w:before="0" w:after="0" w:line="360" w:lineRule="auto"/>
      </w:pPr>
      <w:bookmarkStart w:id="16" w:name="_Toc497292041"/>
      <w:bookmarkStart w:id="17" w:name="_Toc497321348"/>
      <w:bookmarkStart w:id="18" w:name="_Toc2557033"/>
      <w:r w:rsidRPr="0018149E">
        <w:t>AMBALAJ VE İŞARETLEME</w:t>
      </w:r>
      <w:bookmarkEnd w:id="16"/>
      <w:bookmarkEnd w:id="17"/>
      <w:bookmarkEnd w:id="18"/>
      <w:r w:rsidRPr="0018149E">
        <w:t xml:space="preserve"> </w:t>
      </w:r>
    </w:p>
    <w:p w:rsidR="00C762B9" w:rsidRPr="0036638B" w:rsidP="00A010DA">
      <w:pPr>
        <w:spacing w:after="0" w:line="360" w:lineRule="auto"/>
        <w:rPr>
          <w:rFonts w:eastAsiaTheme="majorEastAsia" w:cstheme="majorBidi"/>
          <w:b/>
          <w:bCs/>
          <w:color w:val="000000" w:themeColor="text1"/>
          <w:szCs w:val="20"/>
        </w:rPr>
      </w:pPr>
      <w:r w:rsidRPr="0036638B">
        <w:rPr>
          <w:rFonts w:eastAsiaTheme="majorEastAsia" w:cstheme="majorBidi"/>
          <w:b/>
          <w:bCs/>
          <w:color w:val="000000" w:themeColor="text1"/>
          <w:szCs w:val="20"/>
        </w:rPr>
        <w:tab/>
        <w:t>Barkodlama</w:t>
      </w:r>
    </w:p>
    <w:p w:rsidR="00C762B9" w:rsidRPr="0036638B" w:rsidP="00A010DA">
      <w:pPr>
        <w:spacing w:after="0" w:line="360" w:lineRule="auto"/>
        <w:jc w:val="both"/>
        <w:rPr>
          <w:rFonts w:eastAsiaTheme="majorEastAsia" w:cstheme="majorBidi"/>
          <w:bCs/>
          <w:color w:val="000000" w:themeColor="text1"/>
          <w:szCs w:val="20"/>
        </w:rPr>
      </w:pPr>
      <w:r w:rsidRPr="0036638B">
        <w:rPr>
          <w:rFonts w:eastAsiaTheme="majorEastAsia" w:cstheme="majorBidi"/>
          <w:bCs/>
          <w:color w:val="000000" w:themeColor="text1"/>
          <w:szCs w:val="20"/>
        </w:rPr>
        <w:t>Her modüler hücrede etiket bilgilerinin bulunduğu yere UEDAŞ olarak aşağıda belirlenen çizgi barkodlar basılacaktır.</w:t>
      </w:r>
    </w:p>
    <w:p w:rsidR="00C762B9" w:rsidRPr="00D951EF" w:rsidP="00C762B9">
      <w:pPr>
        <w:spacing w:after="0" w:line="276" w:lineRule="auto"/>
        <w:ind w:left="349"/>
        <w:jc w:val="both"/>
        <w:rPr>
          <w:rFonts w:ascii="Arial" w:hAnsi="Arial" w:cs="Arial"/>
          <w:bCs/>
        </w:rPr>
      </w:pPr>
    </w:p>
    <w:tbl>
      <w:tblPr>
        <w:tblpPr w:leftFromText="141" w:rightFromText="141" w:vertAnchor="text" w:horzAnchor="margin" w:tblpXSpec="center" w:tblpY="213"/>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157"/>
        <w:gridCol w:w="7499"/>
      </w:tblGrid>
      <w:tr w:rsidTr="00E26DE3">
        <w:tblPrEx>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334"/>
        </w:trPr>
        <w:tc>
          <w:tcPr>
            <w:tcW w:w="1157" w:type="dxa"/>
            <w:shd w:val="clear" w:color="auto" w:fill="auto"/>
            <w:noWrap/>
            <w:vAlign w:val="center"/>
          </w:tcPr>
          <w:p w:rsidR="00C762B9" w:rsidRPr="0036638B" w:rsidP="00E26DE3">
            <w:pPr>
              <w:jc w:val="center"/>
              <w:rPr>
                <w:rFonts w:cs="Arial"/>
                <w:color w:val="000000"/>
                <w:sz w:val="20"/>
              </w:rPr>
            </w:pPr>
            <w:r w:rsidRPr="0036638B">
              <w:rPr>
                <w:rFonts w:cs="Arial"/>
                <w:color w:val="000000"/>
                <w:sz w:val="20"/>
              </w:rPr>
              <w:t>Oracle Kodu</w:t>
            </w:r>
          </w:p>
        </w:tc>
        <w:tc>
          <w:tcPr>
            <w:tcW w:w="7499" w:type="dxa"/>
            <w:shd w:val="clear" w:color="auto" w:fill="auto"/>
            <w:noWrap/>
            <w:vAlign w:val="center"/>
          </w:tcPr>
          <w:p w:rsidR="00C762B9" w:rsidRPr="0036638B" w:rsidP="00E26DE3">
            <w:pPr>
              <w:rPr>
                <w:rFonts w:cs="Arial"/>
                <w:color w:val="000000"/>
                <w:sz w:val="20"/>
              </w:rPr>
            </w:pPr>
          </w:p>
        </w:tc>
      </w:tr>
      <w:tr w:rsidTr="00E26DE3">
        <w:tblPrEx>
          <w:tblW w:w="8656" w:type="dxa"/>
          <w:tblCellMar>
            <w:left w:w="70" w:type="dxa"/>
            <w:right w:w="70" w:type="dxa"/>
          </w:tblCellMar>
          <w:tblLook w:val="04A0"/>
        </w:tblPrEx>
        <w:trPr>
          <w:trHeight w:val="334"/>
        </w:trPr>
        <w:tc>
          <w:tcPr>
            <w:tcW w:w="1157" w:type="dxa"/>
            <w:shd w:val="clear" w:color="auto" w:fill="auto"/>
            <w:noWrap/>
            <w:vAlign w:val="center"/>
            <w:hideMark/>
          </w:tcPr>
          <w:p w:rsidR="00C762B9" w:rsidRPr="0036638B" w:rsidP="00E26DE3">
            <w:pPr>
              <w:jc w:val="center"/>
              <w:rPr>
                <w:rFonts w:cs="Arial"/>
                <w:color w:val="000000"/>
                <w:sz w:val="20"/>
              </w:rPr>
            </w:pPr>
            <w:r w:rsidRPr="0036638B">
              <w:rPr>
                <w:rFonts w:cs="Arial"/>
                <w:color w:val="000000"/>
                <w:sz w:val="20"/>
              </w:rPr>
              <w:t>01300074</w:t>
            </w:r>
          </w:p>
        </w:tc>
        <w:tc>
          <w:tcPr>
            <w:tcW w:w="7499" w:type="dxa"/>
            <w:shd w:val="clear" w:color="auto" w:fill="auto"/>
            <w:noWrap/>
            <w:vAlign w:val="center"/>
            <w:hideMark/>
          </w:tcPr>
          <w:p w:rsidR="00C762B9" w:rsidRPr="0036638B" w:rsidP="00E26DE3">
            <w:pPr>
              <w:rPr>
                <w:rFonts w:cs="Arial"/>
                <w:color w:val="000000"/>
                <w:sz w:val="20"/>
              </w:rPr>
            </w:pPr>
            <w:r w:rsidRPr="0036638B">
              <w:rPr>
                <w:rFonts w:cs="Arial"/>
                <w:color w:val="000000"/>
                <w:sz w:val="20"/>
              </w:rPr>
              <w:t>36 kV. 630 A. 16 kA. 110V.DC. KESİCİ (GAZLI) GİRİŞ-ÇIKIŞ HÜCRESİ</w:t>
            </w:r>
          </w:p>
        </w:tc>
      </w:tr>
      <w:tr w:rsidTr="00E26DE3">
        <w:tblPrEx>
          <w:tblW w:w="8656" w:type="dxa"/>
          <w:tblCellMar>
            <w:left w:w="70" w:type="dxa"/>
            <w:right w:w="70" w:type="dxa"/>
          </w:tblCellMar>
          <w:tblLook w:val="04A0"/>
        </w:tblPrEx>
        <w:trPr>
          <w:trHeight w:val="334"/>
        </w:trPr>
        <w:tc>
          <w:tcPr>
            <w:tcW w:w="1157" w:type="dxa"/>
            <w:shd w:val="clear" w:color="auto" w:fill="auto"/>
            <w:noWrap/>
            <w:vAlign w:val="center"/>
            <w:hideMark/>
          </w:tcPr>
          <w:p w:rsidR="00C762B9" w:rsidRPr="0036638B" w:rsidP="00E26DE3">
            <w:pPr>
              <w:jc w:val="center"/>
              <w:rPr>
                <w:rFonts w:cs="Arial"/>
                <w:color w:val="000000"/>
                <w:sz w:val="20"/>
              </w:rPr>
            </w:pPr>
            <w:r w:rsidRPr="0036638B">
              <w:rPr>
                <w:rFonts w:cs="Arial"/>
                <w:color w:val="000000"/>
                <w:sz w:val="20"/>
              </w:rPr>
              <w:t>01300076</w:t>
            </w:r>
          </w:p>
        </w:tc>
        <w:tc>
          <w:tcPr>
            <w:tcW w:w="7499" w:type="dxa"/>
            <w:shd w:val="clear" w:color="auto" w:fill="auto"/>
            <w:noWrap/>
            <w:vAlign w:val="center"/>
            <w:hideMark/>
          </w:tcPr>
          <w:p w:rsidR="00C762B9" w:rsidRPr="0036638B" w:rsidP="00E26DE3">
            <w:pPr>
              <w:rPr>
                <w:rFonts w:cs="Arial"/>
                <w:color w:val="000000"/>
                <w:sz w:val="20"/>
              </w:rPr>
            </w:pPr>
            <w:r w:rsidRPr="0036638B">
              <w:rPr>
                <w:rFonts w:cs="Arial"/>
                <w:color w:val="000000"/>
                <w:sz w:val="20"/>
              </w:rPr>
              <w:t>36 kV. 630 A. 16 kA. 24V.DC. KESİCİ (GAZLI) GİRİŞ-ÇIKIŞ HÜCRESİ</w:t>
            </w:r>
          </w:p>
        </w:tc>
      </w:tr>
      <w:tr w:rsidTr="00E26DE3">
        <w:tblPrEx>
          <w:tblW w:w="8656" w:type="dxa"/>
          <w:tblCellMar>
            <w:left w:w="70" w:type="dxa"/>
            <w:right w:w="70" w:type="dxa"/>
          </w:tblCellMar>
          <w:tblLook w:val="04A0"/>
        </w:tblPrEx>
        <w:trPr>
          <w:trHeight w:val="334"/>
        </w:trPr>
        <w:tc>
          <w:tcPr>
            <w:tcW w:w="1157" w:type="dxa"/>
            <w:shd w:val="clear" w:color="auto" w:fill="auto"/>
            <w:noWrap/>
            <w:vAlign w:val="center"/>
            <w:hideMark/>
          </w:tcPr>
          <w:p w:rsidR="00C762B9" w:rsidRPr="0036638B" w:rsidP="00E26DE3">
            <w:pPr>
              <w:jc w:val="center"/>
              <w:rPr>
                <w:rFonts w:cs="Arial"/>
                <w:color w:val="000000"/>
                <w:sz w:val="20"/>
              </w:rPr>
            </w:pPr>
            <w:r w:rsidRPr="0036638B">
              <w:rPr>
                <w:rFonts w:cs="Arial"/>
                <w:color w:val="000000"/>
                <w:sz w:val="20"/>
              </w:rPr>
              <w:t>01300073</w:t>
            </w:r>
          </w:p>
        </w:tc>
        <w:tc>
          <w:tcPr>
            <w:tcW w:w="7499" w:type="dxa"/>
            <w:shd w:val="clear" w:color="auto" w:fill="auto"/>
            <w:noWrap/>
            <w:vAlign w:val="center"/>
            <w:hideMark/>
          </w:tcPr>
          <w:p w:rsidR="00C762B9" w:rsidRPr="0036638B" w:rsidP="00E26DE3">
            <w:pPr>
              <w:rPr>
                <w:rFonts w:cs="Arial"/>
                <w:color w:val="000000"/>
                <w:sz w:val="20"/>
              </w:rPr>
            </w:pPr>
            <w:r w:rsidRPr="0036638B">
              <w:rPr>
                <w:rFonts w:cs="Arial"/>
                <w:color w:val="000000"/>
                <w:sz w:val="20"/>
              </w:rPr>
              <w:t>36 kV. 630 A. 16 kA. 24V.DC. BARA BAĞLAMA HÜCRESİ</w:t>
            </w:r>
          </w:p>
        </w:tc>
      </w:tr>
      <w:tr w:rsidTr="00E26DE3">
        <w:tblPrEx>
          <w:tblW w:w="8656" w:type="dxa"/>
          <w:tblCellMar>
            <w:left w:w="70" w:type="dxa"/>
            <w:right w:w="70" w:type="dxa"/>
          </w:tblCellMar>
          <w:tblLook w:val="04A0"/>
        </w:tblPrEx>
        <w:trPr>
          <w:trHeight w:val="334"/>
        </w:trPr>
        <w:tc>
          <w:tcPr>
            <w:tcW w:w="1157" w:type="dxa"/>
            <w:shd w:val="clear" w:color="auto" w:fill="auto"/>
            <w:noWrap/>
            <w:vAlign w:val="center"/>
            <w:hideMark/>
          </w:tcPr>
          <w:p w:rsidR="00C762B9" w:rsidRPr="0036638B" w:rsidP="00E26DE3">
            <w:pPr>
              <w:jc w:val="center"/>
              <w:rPr>
                <w:rFonts w:cs="Arial"/>
                <w:color w:val="000000"/>
                <w:sz w:val="20"/>
              </w:rPr>
            </w:pPr>
            <w:r w:rsidRPr="0036638B">
              <w:rPr>
                <w:rFonts w:cs="Arial"/>
                <w:color w:val="000000"/>
                <w:sz w:val="20"/>
              </w:rPr>
              <w:t>01300072</w:t>
            </w:r>
          </w:p>
        </w:tc>
        <w:tc>
          <w:tcPr>
            <w:tcW w:w="7499" w:type="dxa"/>
            <w:shd w:val="clear" w:color="auto" w:fill="auto"/>
            <w:noWrap/>
            <w:vAlign w:val="center"/>
            <w:hideMark/>
          </w:tcPr>
          <w:p w:rsidR="00C762B9" w:rsidRPr="0036638B" w:rsidP="00E26DE3">
            <w:pPr>
              <w:rPr>
                <w:rFonts w:cs="Arial"/>
                <w:color w:val="000000"/>
                <w:sz w:val="20"/>
              </w:rPr>
            </w:pPr>
            <w:r w:rsidRPr="0036638B">
              <w:rPr>
                <w:rFonts w:cs="Arial"/>
                <w:color w:val="000000"/>
                <w:sz w:val="20"/>
              </w:rPr>
              <w:t>36 kV. 630 A. 16 kA. 24V.DC. YÜK AYR.GİR-ÇIK.HÜCRESİ</w:t>
            </w:r>
          </w:p>
        </w:tc>
      </w:tr>
      <w:tr w:rsidTr="00E26DE3">
        <w:tblPrEx>
          <w:tblW w:w="8656" w:type="dxa"/>
          <w:tblCellMar>
            <w:left w:w="70" w:type="dxa"/>
            <w:right w:w="70" w:type="dxa"/>
          </w:tblCellMar>
          <w:tblLook w:val="04A0"/>
        </w:tblPrEx>
        <w:trPr>
          <w:trHeight w:val="334"/>
        </w:trPr>
        <w:tc>
          <w:tcPr>
            <w:tcW w:w="1157" w:type="dxa"/>
            <w:shd w:val="clear" w:color="auto" w:fill="auto"/>
            <w:noWrap/>
            <w:vAlign w:val="center"/>
            <w:hideMark/>
          </w:tcPr>
          <w:p w:rsidR="00C762B9" w:rsidRPr="0036638B" w:rsidP="00E26DE3">
            <w:pPr>
              <w:jc w:val="center"/>
              <w:rPr>
                <w:rFonts w:cs="Arial"/>
                <w:color w:val="000000"/>
                <w:sz w:val="20"/>
              </w:rPr>
            </w:pPr>
            <w:r w:rsidRPr="0036638B">
              <w:rPr>
                <w:rFonts w:cs="Arial"/>
                <w:color w:val="000000"/>
                <w:sz w:val="20"/>
              </w:rPr>
              <w:t>01300075</w:t>
            </w:r>
          </w:p>
        </w:tc>
        <w:tc>
          <w:tcPr>
            <w:tcW w:w="7499" w:type="dxa"/>
            <w:shd w:val="clear" w:color="auto" w:fill="auto"/>
            <w:noWrap/>
            <w:vAlign w:val="center"/>
            <w:hideMark/>
          </w:tcPr>
          <w:p w:rsidR="00C762B9" w:rsidRPr="0036638B" w:rsidP="00E26DE3">
            <w:pPr>
              <w:rPr>
                <w:rFonts w:cs="Arial"/>
                <w:color w:val="000000"/>
                <w:sz w:val="20"/>
              </w:rPr>
            </w:pPr>
            <w:r w:rsidRPr="0036638B">
              <w:rPr>
                <w:rFonts w:cs="Arial"/>
                <w:color w:val="000000"/>
                <w:sz w:val="20"/>
              </w:rPr>
              <w:t>36 kV. 1250 A. 16 kA. 110V.DC. KESİCİ (GAZLI) GİRİŞ-ÇIKIŞ HÜCRESİ</w:t>
            </w:r>
          </w:p>
        </w:tc>
      </w:tr>
      <w:tr w:rsidTr="00E26DE3">
        <w:tblPrEx>
          <w:tblW w:w="8656" w:type="dxa"/>
          <w:tblCellMar>
            <w:left w:w="70" w:type="dxa"/>
            <w:right w:w="70" w:type="dxa"/>
          </w:tblCellMar>
          <w:tblLook w:val="04A0"/>
        </w:tblPrEx>
        <w:trPr>
          <w:trHeight w:val="334"/>
        </w:trPr>
        <w:tc>
          <w:tcPr>
            <w:tcW w:w="1157" w:type="dxa"/>
            <w:shd w:val="clear" w:color="auto" w:fill="auto"/>
            <w:noWrap/>
            <w:vAlign w:val="center"/>
            <w:hideMark/>
          </w:tcPr>
          <w:p w:rsidR="00C762B9" w:rsidRPr="0036638B" w:rsidP="00E26DE3">
            <w:pPr>
              <w:jc w:val="center"/>
              <w:rPr>
                <w:rFonts w:cs="Arial"/>
                <w:color w:val="000000"/>
                <w:sz w:val="20"/>
              </w:rPr>
            </w:pPr>
            <w:r w:rsidRPr="0036638B">
              <w:rPr>
                <w:rFonts w:cs="Arial"/>
                <w:color w:val="000000"/>
                <w:sz w:val="20"/>
              </w:rPr>
              <w:t>01300077</w:t>
            </w:r>
          </w:p>
        </w:tc>
        <w:tc>
          <w:tcPr>
            <w:tcW w:w="7499" w:type="dxa"/>
            <w:shd w:val="clear" w:color="auto" w:fill="auto"/>
            <w:noWrap/>
            <w:vAlign w:val="center"/>
            <w:hideMark/>
          </w:tcPr>
          <w:p w:rsidR="00C762B9" w:rsidRPr="0036638B" w:rsidP="00E26DE3">
            <w:pPr>
              <w:rPr>
                <w:rFonts w:cs="Arial"/>
                <w:color w:val="000000"/>
                <w:sz w:val="20"/>
              </w:rPr>
            </w:pPr>
            <w:r w:rsidRPr="0036638B">
              <w:rPr>
                <w:rFonts w:cs="Arial"/>
                <w:color w:val="000000"/>
                <w:sz w:val="20"/>
              </w:rPr>
              <w:t>36 kV. 630 A. 16 kA. 24V.DC. YÜK AYR.+SİG.BİL.TRF.KOR.HÜCRESİ</w:t>
            </w:r>
          </w:p>
        </w:tc>
      </w:tr>
    </w:tbl>
    <w:p w:rsidR="00C762B9" w:rsidRPr="005635A2" w:rsidP="00C762B9">
      <w:pPr>
        <w:spacing w:line="276" w:lineRule="auto"/>
        <w:ind w:left="349"/>
        <w:jc w:val="both"/>
        <w:rPr>
          <w:rFonts w:ascii="Arial" w:hAnsi="Arial" w:cs="Arial"/>
          <w:bCs/>
        </w:rPr>
      </w:pPr>
    </w:p>
    <w:p w:rsidR="00C762B9" w:rsidRPr="0036638B" w:rsidP="00A010DA">
      <w:pPr>
        <w:numPr>
          <w:ilvl w:val="0"/>
          <w:numId w:val="24"/>
        </w:numPr>
        <w:spacing w:after="0" w:line="360" w:lineRule="auto"/>
        <w:ind w:left="346" w:hanging="357"/>
        <w:jc w:val="both"/>
        <w:rPr>
          <w:rFonts w:cs="Arial"/>
          <w:bCs/>
        </w:rPr>
      </w:pPr>
      <w:r w:rsidRPr="0036638B">
        <w:rPr>
          <w:rFonts w:cs="Arial"/>
          <w:bCs/>
        </w:rPr>
        <w:t>Ayrıca aşağıda örnek içerik tanımlaması yapılan karekod etiket üzerine basılacaktır. Karekod boyutu Hücre için 5x5 cm boyutunda olacaktır.</w:t>
      </w:r>
      <w:r w:rsidRPr="0036638B">
        <w:rPr>
          <w:sz w:val="24"/>
          <w:szCs w:val="23"/>
        </w:rPr>
        <w:t xml:space="preserve"> </w:t>
      </w:r>
      <w:r w:rsidRPr="0036638B">
        <w:rPr>
          <w:rFonts w:cs="Arial"/>
          <w:bCs/>
        </w:rPr>
        <w:t>Tablodaki tüm bilgiler, Türkçe karakter kullanılmadan, büyük harflerle karekoda yazılacaktır. Ondalık ayıraçları “.” İle yapılacaktır.</w:t>
      </w:r>
    </w:p>
    <w:p w:rsidR="00C762B9" w:rsidP="00C762B9">
      <w:pPr>
        <w:spacing w:line="276" w:lineRule="auto"/>
        <w:jc w:val="both"/>
        <w:rPr>
          <w:rFonts w:ascii="Arial" w:hAnsi="Arial" w:cs="Arial"/>
          <w:bCs/>
        </w:rPr>
      </w:pPr>
    </w:p>
    <w:tbl>
      <w:tblPr>
        <w:tblW w:w="8248" w:type="dxa"/>
        <w:jc w:val="center"/>
        <w:tblCellMar>
          <w:left w:w="70" w:type="dxa"/>
          <w:right w:w="70" w:type="dxa"/>
        </w:tblCellMar>
        <w:tblLook w:val="04A0"/>
      </w:tblPr>
      <w:tblGrid>
        <w:gridCol w:w="1954"/>
        <w:gridCol w:w="700"/>
        <w:gridCol w:w="570"/>
        <w:gridCol w:w="1920"/>
        <w:gridCol w:w="760"/>
        <w:gridCol w:w="587"/>
        <w:gridCol w:w="570"/>
        <w:gridCol w:w="700"/>
        <w:gridCol w:w="700"/>
      </w:tblGrid>
      <w:tr w:rsidTr="00E26DE3">
        <w:tblPrEx>
          <w:tblW w:w="8248" w:type="dxa"/>
          <w:jc w:val="center"/>
          <w:tblCellMar>
            <w:left w:w="70" w:type="dxa"/>
            <w:right w:w="70" w:type="dxa"/>
          </w:tblCellMar>
          <w:tblLook w:val="04A0"/>
        </w:tblPrEx>
        <w:trPr>
          <w:trHeight w:val="1440"/>
          <w:jc w:val="center"/>
        </w:trPr>
        <w:tc>
          <w:tcPr>
            <w:tcW w:w="195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C762B9" w:rsidRPr="0036638B" w:rsidP="00E26DE3">
            <w:pPr>
              <w:jc w:val="center"/>
              <w:rPr>
                <w:rFonts w:cs="Calibri"/>
                <w:b/>
                <w:bCs/>
                <w:color w:val="000000"/>
                <w:sz w:val="20"/>
              </w:rPr>
            </w:pPr>
            <w:r w:rsidRPr="0036638B">
              <w:rPr>
                <w:rFonts w:cs="Calibri"/>
                <w:b/>
                <w:bCs/>
                <w:color w:val="000000"/>
                <w:sz w:val="20"/>
              </w:rPr>
              <w:t>ORACLE NO</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762B9" w:rsidRPr="0036638B" w:rsidP="00E26DE3">
            <w:pPr>
              <w:jc w:val="center"/>
              <w:rPr>
                <w:rFonts w:cs="Calibri"/>
                <w:b/>
                <w:bCs/>
                <w:color w:val="000000"/>
                <w:sz w:val="20"/>
              </w:rPr>
            </w:pPr>
            <w:r w:rsidRPr="0036638B">
              <w:rPr>
                <w:rFonts w:cs="Calibri"/>
                <w:b/>
                <w:bCs/>
                <w:color w:val="000000"/>
                <w:sz w:val="20"/>
              </w:rPr>
              <w:t>İHALE/SÖZLEŞME  NO</w:t>
            </w:r>
          </w:p>
        </w:tc>
        <w:tc>
          <w:tcPr>
            <w:tcW w:w="505" w:type="dxa"/>
            <w:tcBorders>
              <w:top w:val="single" w:sz="4" w:space="0" w:color="auto"/>
              <w:left w:val="nil"/>
              <w:bottom w:val="single" w:sz="4" w:space="0" w:color="auto"/>
              <w:right w:val="single" w:sz="4" w:space="0" w:color="auto"/>
            </w:tcBorders>
            <w:shd w:val="clear" w:color="auto" w:fill="auto"/>
            <w:textDirection w:val="btLr"/>
            <w:vAlign w:val="center"/>
            <w:hideMark/>
          </w:tcPr>
          <w:p w:rsidR="00C762B9" w:rsidRPr="0036638B" w:rsidP="00E26DE3">
            <w:pPr>
              <w:jc w:val="center"/>
              <w:rPr>
                <w:rFonts w:cs="Calibri"/>
                <w:b/>
                <w:bCs/>
                <w:color w:val="000000"/>
                <w:sz w:val="20"/>
              </w:rPr>
            </w:pPr>
            <w:r w:rsidRPr="0036638B">
              <w:rPr>
                <w:rFonts w:cs="Calibri"/>
                <w:b/>
                <w:bCs/>
                <w:color w:val="000000"/>
                <w:sz w:val="20"/>
              </w:rPr>
              <w:t>MARKA</w:t>
            </w:r>
          </w:p>
        </w:tc>
        <w:tc>
          <w:tcPr>
            <w:tcW w:w="1920" w:type="dxa"/>
            <w:tcBorders>
              <w:top w:val="single" w:sz="4" w:space="0" w:color="auto"/>
              <w:left w:val="nil"/>
              <w:bottom w:val="single" w:sz="4" w:space="0" w:color="auto"/>
              <w:right w:val="single" w:sz="4" w:space="0" w:color="auto"/>
            </w:tcBorders>
            <w:shd w:val="clear" w:color="auto" w:fill="auto"/>
            <w:textDirection w:val="btLr"/>
            <w:vAlign w:val="center"/>
            <w:hideMark/>
          </w:tcPr>
          <w:p w:rsidR="00C762B9" w:rsidRPr="0036638B" w:rsidP="00E26DE3">
            <w:pPr>
              <w:jc w:val="center"/>
              <w:rPr>
                <w:rFonts w:cs="Calibri"/>
                <w:b/>
                <w:bCs/>
                <w:color w:val="000000"/>
                <w:sz w:val="20"/>
              </w:rPr>
            </w:pPr>
            <w:r w:rsidRPr="0036638B">
              <w:rPr>
                <w:rFonts w:cs="Calibri"/>
                <w:b/>
                <w:bCs/>
                <w:color w:val="000000"/>
                <w:sz w:val="20"/>
              </w:rPr>
              <w:t xml:space="preserve"> HÜCRETİPİ</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hideMark/>
          </w:tcPr>
          <w:p w:rsidR="00C762B9" w:rsidRPr="0036638B" w:rsidP="00E26DE3">
            <w:pPr>
              <w:jc w:val="center"/>
              <w:rPr>
                <w:rFonts w:cs="Calibri"/>
                <w:b/>
                <w:bCs/>
                <w:color w:val="000000"/>
                <w:sz w:val="20"/>
              </w:rPr>
            </w:pPr>
            <w:r w:rsidRPr="0036638B">
              <w:rPr>
                <w:rFonts w:cs="Calibri"/>
                <w:b/>
                <w:bCs/>
                <w:color w:val="000000"/>
                <w:sz w:val="20"/>
              </w:rPr>
              <w:t xml:space="preserve"> FAB. SERİ NO</w:t>
            </w:r>
          </w:p>
        </w:tc>
        <w:tc>
          <w:tcPr>
            <w:tcW w:w="587" w:type="dxa"/>
            <w:tcBorders>
              <w:top w:val="single" w:sz="4" w:space="0" w:color="auto"/>
              <w:left w:val="nil"/>
              <w:bottom w:val="single" w:sz="4" w:space="0" w:color="auto"/>
              <w:right w:val="single" w:sz="4" w:space="0" w:color="auto"/>
            </w:tcBorders>
            <w:shd w:val="clear" w:color="auto" w:fill="auto"/>
            <w:textDirection w:val="btLr"/>
            <w:vAlign w:val="center"/>
            <w:hideMark/>
          </w:tcPr>
          <w:p w:rsidR="00C762B9" w:rsidRPr="0036638B" w:rsidP="00E26DE3">
            <w:pPr>
              <w:jc w:val="center"/>
              <w:rPr>
                <w:rFonts w:cs="Calibri"/>
                <w:b/>
                <w:bCs/>
                <w:color w:val="000000"/>
                <w:sz w:val="20"/>
              </w:rPr>
            </w:pPr>
            <w:r w:rsidRPr="0036638B">
              <w:rPr>
                <w:rFonts w:cs="Calibri"/>
                <w:b/>
                <w:bCs/>
                <w:color w:val="000000"/>
                <w:sz w:val="20"/>
              </w:rPr>
              <w:t>İMAL YILI</w:t>
            </w:r>
          </w:p>
        </w:tc>
        <w:tc>
          <w:tcPr>
            <w:tcW w:w="422" w:type="dxa"/>
            <w:tcBorders>
              <w:top w:val="single" w:sz="4" w:space="0" w:color="auto"/>
              <w:left w:val="nil"/>
              <w:bottom w:val="single" w:sz="4" w:space="0" w:color="auto"/>
              <w:right w:val="single" w:sz="4" w:space="0" w:color="auto"/>
            </w:tcBorders>
            <w:shd w:val="clear" w:color="auto" w:fill="auto"/>
            <w:textDirection w:val="btLr"/>
            <w:vAlign w:val="center"/>
            <w:hideMark/>
          </w:tcPr>
          <w:p w:rsidR="00C762B9" w:rsidRPr="0036638B" w:rsidP="00E26DE3">
            <w:pPr>
              <w:jc w:val="center"/>
              <w:rPr>
                <w:rFonts w:cs="Calibri"/>
                <w:b/>
                <w:bCs/>
                <w:color w:val="000000"/>
                <w:sz w:val="20"/>
              </w:rPr>
            </w:pPr>
            <w:r w:rsidRPr="0036638B">
              <w:rPr>
                <w:rFonts w:cs="Calibri"/>
                <w:b/>
                <w:bCs/>
                <w:color w:val="000000"/>
                <w:sz w:val="20"/>
              </w:rPr>
              <w:t>GERİLİM(kV)</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762B9" w:rsidRPr="0036638B" w:rsidP="00E26DE3">
            <w:pPr>
              <w:jc w:val="center"/>
              <w:rPr>
                <w:rFonts w:cs="Calibri"/>
                <w:b/>
                <w:bCs/>
                <w:color w:val="000000"/>
                <w:sz w:val="20"/>
              </w:rPr>
            </w:pPr>
            <w:r w:rsidRPr="0036638B">
              <w:rPr>
                <w:rFonts w:cs="Calibri"/>
                <w:b/>
                <w:bCs/>
                <w:color w:val="000000"/>
                <w:sz w:val="20"/>
              </w:rPr>
              <w:t>KISA DEVRE AKIMI(kA)</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762B9" w:rsidRPr="0036638B" w:rsidP="00E26DE3">
            <w:pPr>
              <w:jc w:val="center"/>
              <w:rPr>
                <w:rFonts w:cs="Calibri"/>
                <w:b/>
                <w:bCs/>
                <w:color w:val="000000"/>
                <w:sz w:val="20"/>
              </w:rPr>
            </w:pPr>
            <w:r w:rsidRPr="0036638B">
              <w:rPr>
                <w:rFonts w:cs="Calibri"/>
                <w:b/>
                <w:bCs/>
                <w:color w:val="000000"/>
                <w:sz w:val="20"/>
              </w:rPr>
              <w:t>DC BESLEME GERİLİMİ(V)</w:t>
            </w:r>
          </w:p>
        </w:tc>
      </w:tr>
      <w:tr w:rsidTr="00F57EED">
        <w:tblPrEx>
          <w:tblW w:w="8248" w:type="dxa"/>
          <w:jc w:val="center"/>
          <w:tblCellMar>
            <w:left w:w="70" w:type="dxa"/>
            <w:right w:w="70" w:type="dxa"/>
          </w:tblCellMar>
          <w:tblLook w:val="04A0"/>
        </w:tblPrEx>
        <w:trPr>
          <w:trHeight w:val="300"/>
          <w:jc w:val="center"/>
        </w:trPr>
        <w:tc>
          <w:tcPr>
            <w:tcW w:w="1954" w:type="dxa"/>
            <w:tcBorders>
              <w:top w:val="single" w:sz="4" w:space="0" w:color="auto"/>
              <w:left w:val="single" w:sz="4" w:space="0" w:color="FF0000"/>
              <w:bottom w:val="single" w:sz="4" w:space="0" w:color="auto"/>
              <w:right w:val="single" w:sz="4" w:space="0" w:color="FF0000"/>
            </w:tcBorders>
            <w:shd w:val="clear" w:color="auto" w:fill="auto"/>
            <w:noWrap/>
            <w:vAlign w:val="center"/>
            <w:hideMark/>
          </w:tcPr>
          <w:p w:rsidR="00C762B9" w:rsidRPr="0036638B" w:rsidP="00E26DE3">
            <w:pPr>
              <w:jc w:val="center"/>
              <w:rPr>
                <w:rFonts w:cs="Calibri"/>
                <w:color w:val="000000"/>
                <w:sz w:val="20"/>
              </w:rPr>
            </w:pPr>
            <w:r w:rsidRPr="0036638B">
              <w:rPr>
                <w:rFonts w:cs="Arial"/>
                <w:color w:val="000000"/>
                <w:sz w:val="20"/>
              </w:rPr>
              <w:t>01300074</w:t>
            </w:r>
          </w:p>
        </w:tc>
        <w:tc>
          <w:tcPr>
            <w:tcW w:w="700" w:type="dxa"/>
            <w:tcBorders>
              <w:top w:val="single" w:sz="4" w:space="0" w:color="auto"/>
              <w:left w:val="nil"/>
              <w:bottom w:val="single" w:sz="4" w:space="0" w:color="auto"/>
              <w:right w:val="single" w:sz="4" w:space="0" w:color="FF0000"/>
            </w:tcBorders>
            <w:shd w:val="clear" w:color="auto" w:fill="auto"/>
            <w:noWrap/>
            <w:vAlign w:val="center"/>
            <w:hideMark/>
          </w:tcPr>
          <w:p w:rsidR="00C762B9" w:rsidRPr="0036638B" w:rsidP="00E26DE3">
            <w:pPr>
              <w:jc w:val="center"/>
              <w:rPr>
                <w:rFonts w:cs="Calibri"/>
                <w:color w:val="000000"/>
                <w:sz w:val="20"/>
              </w:rPr>
            </w:pPr>
            <w:r w:rsidRPr="0036638B">
              <w:rPr>
                <w:rFonts w:cs="Calibri"/>
                <w:color w:val="000000"/>
                <w:sz w:val="20"/>
              </w:rPr>
              <w:t>19-032</w:t>
            </w:r>
          </w:p>
        </w:tc>
        <w:tc>
          <w:tcPr>
            <w:tcW w:w="505" w:type="dxa"/>
            <w:tcBorders>
              <w:top w:val="single" w:sz="4" w:space="0" w:color="auto"/>
              <w:left w:val="nil"/>
              <w:bottom w:val="single" w:sz="4" w:space="0" w:color="auto"/>
              <w:right w:val="single" w:sz="4" w:space="0" w:color="FF0000"/>
            </w:tcBorders>
            <w:shd w:val="clear" w:color="auto" w:fill="auto"/>
            <w:noWrap/>
            <w:vAlign w:val="center"/>
            <w:hideMark/>
          </w:tcPr>
          <w:p w:rsidR="00C762B9" w:rsidRPr="0036638B" w:rsidP="00E26DE3">
            <w:pPr>
              <w:jc w:val="center"/>
              <w:rPr>
                <w:rFonts w:cs="Calibri"/>
                <w:color w:val="000000"/>
                <w:sz w:val="20"/>
              </w:rPr>
            </w:pPr>
            <w:r w:rsidRPr="0036638B">
              <w:rPr>
                <w:rFonts w:cs="Calibri"/>
                <w:color w:val="000000"/>
                <w:sz w:val="20"/>
              </w:rPr>
              <w:t>ABC</w:t>
            </w:r>
          </w:p>
        </w:tc>
        <w:tc>
          <w:tcPr>
            <w:tcW w:w="1920" w:type="dxa"/>
            <w:tcBorders>
              <w:top w:val="single" w:sz="4" w:space="0" w:color="auto"/>
              <w:left w:val="nil"/>
              <w:bottom w:val="single" w:sz="4" w:space="0" w:color="auto"/>
              <w:right w:val="single" w:sz="4" w:space="0" w:color="FF0000"/>
            </w:tcBorders>
            <w:shd w:val="clear" w:color="auto" w:fill="auto"/>
            <w:noWrap/>
            <w:vAlign w:val="center"/>
            <w:hideMark/>
          </w:tcPr>
          <w:p w:rsidR="00C762B9" w:rsidRPr="0036638B" w:rsidP="00E26DE3">
            <w:pPr>
              <w:jc w:val="center"/>
              <w:rPr>
                <w:rFonts w:cs="Calibri"/>
                <w:color w:val="000000"/>
                <w:sz w:val="20"/>
              </w:rPr>
            </w:pPr>
            <w:r w:rsidRPr="0036638B">
              <w:rPr>
                <w:rFonts w:cs="Calibri"/>
                <w:color w:val="000000"/>
                <w:sz w:val="20"/>
              </w:rPr>
              <w:t>KESICILI GIRIS-CIKIS</w:t>
            </w:r>
          </w:p>
        </w:tc>
        <w:tc>
          <w:tcPr>
            <w:tcW w:w="760" w:type="dxa"/>
            <w:tcBorders>
              <w:top w:val="single" w:sz="4" w:space="0" w:color="auto"/>
              <w:left w:val="nil"/>
              <w:bottom w:val="single" w:sz="4" w:space="0" w:color="auto"/>
              <w:right w:val="single" w:sz="4" w:space="0" w:color="FF0000"/>
            </w:tcBorders>
            <w:shd w:val="clear" w:color="auto" w:fill="auto"/>
            <w:noWrap/>
            <w:vAlign w:val="center"/>
            <w:hideMark/>
          </w:tcPr>
          <w:p w:rsidR="00C762B9" w:rsidRPr="0036638B" w:rsidP="00E26DE3">
            <w:pPr>
              <w:jc w:val="center"/>
              <w:rPr>
                <w:rFonts w:cs="Calibri"/>
                <w:color w:val="000000"/>
                <w:sz w:val="20"/>
              </w:rPr>
            </w:pPr>
            <w:r w:rsidRPr="0036638B">
              <w:rPr>
                <w:rFonts w:cs="Calibri"/>
                <w:color w:val="000000"/>
                <w:sz w:val="20"/>
              </w:rPr>
              <w:t>29985</w:t>
            </w:r>
          </w:p>
        </w:tc>
        <w:tc>
          <w:tcPr>
            <w:tcW w:w="587" w:type="dxa"/>
            <w:tcBorders>
              <w:top w:val="single" w:sz="4" w:space="0" w:color="auto"/>
              <w:left w:val="nil"/>
              <w:bottom w:val="single" w:sz="4" w:space="0" w:color="auto"/>
              <w:right w:val="single" w:sz="4" w:space="0" w:color="FF0000"/>
            </w:tcBorders>
            <w:shd w:val="clear" w:color="auto" w:fill="auto"/>
            <w:noWrap/>
            <w:vAlign w:val="center"/>
            <w:hideMark/>
          </w:tcPr>
          <w:p w:rsidR="00C762B9" w:rsidRPr="0036638B" w:rsidP="00E26DE3">
            <w:pPr>
              <w:jc w:val="center"/>
              <w:rPr>
                <w:rFonts w:cs="Calibri"/>
                <w:color w:val="000000"/>
                <w:sz w:val="20"/>
              </w:rPr>
            </w:pPr>
            <w:r w:rsidRPr="0036638B">
              <w:rPr>
                <w:rFonts w:cs="Calibri"/>
                <w:color w:val="000000"/>
                <w:sz w:val="20"/>
              </w:rPr>
              <w:t>2018</w:t>
            </w:r>
          </w:p>
        </w:tc>
        <w:tc>
          <w:tcPr>
            <w:tcW w:w="422" w:type="dxa"/>
            <w:tcBorders>
              <w:top w:val="single" w:sz="4" w:space="0" w:color="auto"/>
              <w:left w:val="nil"/>
              <w:bottom w:val="single" w:sz="4" w:space="0" w:color="auto"/>
              <w:right w:val="single" w:sz="4" w:space="0" w:color="FF0000"/>
            </w:tcBorders>
            <w:shd w:val="clear" w:color="auto" w:fill="auto"/>
            <w:noWrap/>
            <w:vAlign w:val="center"/>
            <w:hideMark/>
          </w:tcPr>
          <w:p w:rsidR="00C762B9" w:rsidRPr="0036638B" w:rsidP="00E26DE3">
            <w:pPr>
              <w:jc w:val="center"/>
              <w:rPr>
                <w:rFonts w:cs="Calibri"/>
                <w:color w:val="000000"/>
                <w:sz w:val="20"/>
              </w:rPr>
            </w:pPr>
            <w:r w:rsidRPr="0036638B">
              <w:rPr>
                <w:rFonts w:cs="Calibri"/>
                <w:color w:val="000000"/>
                <w:sz w:val="20"/>
              </w:rPr>
              <w:t>36</w:t>
            </w:r>
          </w:p>
        </w:tc>
        <w:tc>
          <w:tcPr>
            <w:tcW w:w="700" w:type="dxa"/>
            <w:tcBorders>
              <w:top w:val="single" w:sz="4" w:space="0" w:color="auto"/>
              <w:left w:val="nil"/>
              <w:bottom w:val="single" w:sz="4" w:space="0" w:color="auto"/>
              <w:right w:val="single" w:sz="4" w:space="0" w:color="FF0000"/>
            </w:tcBorders>
            <w:shd w:val="clear" w:color="auto" w:fill="auto"/>
            <w:noWrap/>
            <w:vAlign w:val="center"/>
            <w:hideMark/>
          </w:tcPr>
          <w:p w:rsidR="00C762B9" w:rsidRPr="0036638B" w:rsidP="00E26DE3">
            <w:pPr>
              <w:jc w:val="center"/>
              <w:rPr>
                <w:rFonts w:cs="Calibri"/>
                <w:color w:val="000000"/>
                <w:sz w:val="20"/>
              </w:rPr>
            </w:pPr>
            <w:r w:rsidRPr="0036638B">
              <w:rPr>
                <w:rFonts w:cs="Calibri"/>
                <w:color w:val="000000"/>
                <w:sz w:val="20"/>
              </w:rPr>
              <w:t>16</w:t>
            </w:r>
          </w:p>
        </w:tc>
        <w:tc>
          <w:tcPr>
            <w:tcW w:w="700" w:type="dxa"/>
            <w:tcBorders>
              <w:top w:val="single" w:sz="4" w:space="0" w:color="auto"/>
              <w:left w:val="nil"/>
              <w:bottom w:val="single" w:sz="4" w:space="0" w:color="auto"/>
              <w:right w:val="single" w:sz="4" w:space="0" w:color="FF0000"/>
            </w:tcBorders>
            <w:shd w:val="clear" w:color="auto" w:fill="auto"/>
            <w:noWrap/>
            <w:vAlign w:val="center"/>
            <w:hideMark/>
          </w:tcPr>
          <w:p w:rsidR="00C762B9" w:rsidRPr="0036638B" w:rsidP="00E26DE3">
            <w:pPr>
              <w:jc w:val="center"/>
              <w:rPr>
                <w:rFonts w:cs="Calibri"/>
                <w:color w:val="000000"/>
                <w:sz w:val="20"/>
              </w:rPr>
            </w:pPr>
            <w:r w:rsidRPr="0036638B">
              <w:rPr>
                <w:rFonts w:cs="Calibri"/>
                <w:color w:val="000000"/>
                <w:sz w:val="20"/>
              </w:rPr>
              <w:t>24</w:t>
            </w:r>
          </w:p>
        </w:tc>
      </w:tr>
    </w:tbl>
    <w:p w:rsidR="00C762B9" w:rsidP="00C762B9">
      <w:pPr>
        <w:spacing w:line="276" w:lineRule="auto"/>
        <w:jc w:val="both"/>
        <w:rPr>
          <w:rFonts w:ascii="Arial" w:hAnsi="Arial" w:cs="Arial"/>
          <w:bCs/>
        </w:rPr>
      </w:pPr>
    </w:p>
    <w:p w:rsidR="00C762B9" w:rsidP="00C762B9">
      <w:pPr>
        <w:jc w:val="both"/>
        <w:rPr>
          <w:rFonts w:ascii="Calibri" w:hAnsi="Calibri" w:cs="Calibri"/>
          <w:color w:val="000000"/>
        </w:rPr>
      </w:pPr>
      <w:r w:rsidRPr="005635A2">
        <w:rPr>
          <w:rFonts w:ascii="Arial" w:hAnsi="Arial" w:cs="Arial"/>
          <w:color w:val="000000"/>
        </w:rPr>
        <w:t>01300074</w:t>
      </w:r>
      <w:r>
        <w:rPr>
          <w:rFonts w:ascii="Calibri" w:hAnsi="Calibri" w:cs="Calibri"/>
          <w:color w:val="000000"/>
        </w:rPr>
        <w:t>|19-032|ABC| KESICILI GIRIS-CIKIS|29985|201836|16|24|</w:t>
      </w:r>
    </w:p>
    <w:p w:rsidR="00C762B9" w:rsidP="00C762B9">
      <w:pPr>
        <w:jc w:val="both"/>
        <w:rPr>
          <w:rFonts w:ascii="Arial" w:hAnsi="Arial" w:cs="Arial"/>
          <w:color w:val="000000"/>
          <w:sz w:val="32"/>
        </w:rPr>
      </w:pPr>
      <w:r>
        <w:rPr>
          <w:rFonts w:ascii="Calibri" w:hAnsi="Calibri" w:cs="Calibri"/>
          <w:noProof/>
          <w:color w:val="000000"/>
          <w:lang w:eastAsia="tr-TR"/>
        </w:rPr>
        <w:drawing>
          <wp:inline distT="0" distB="0" distL="0" distR="0">
            <wp:extent cx="2011680" cy="1988820"/>
            <wp:effectExtent l="0" t="0" r="762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38641" name="Picture 4"/>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1680" cy="1988820"/>
                    </a:xfrm>
                    <a:prstGeom prst="rect">
                      <a:avLst/>
                    </a:prstGeom>
                    <a:noFill/>
                    <a:ln>
                      <a:noFill/>
                    </a:ln>
                  </pic:spPr>
                </pic:pic>
              </a:graphicData>
            </a:graphic>
          </wp:inline>
        </w:drawing>
      </w:r>
      <w:r>
        <w:rPr>
          <w:rFonts w:ascii="Arial" w:hAnsi="Arial" w:cs="Arial"/>
          <w:color w:val="000000"/>
          <w:sz w:val="32"/>
        </w:rPr>
        <w:t xml:space="preserve">                </w:t>
      </w:r>
    </w:p>
    <w:p w:rsidR="00C762B9" w:rsidP="00C762B9">
      <w:pPr>
        <w:jc w:val="both"/>
        <w:rPr>
          <w:rFonts w:ascii="Arial" w:hAnsi="Arial" w:cs="Arial"/>
          <w:b/>
          <w:color w:val="000000"/>
          <w:sz w:val="32"/>
        </w:rPr>
      </w:pPr>
      <w:r>
        <w:rPr>
          <w:rFonts w:ascii="Arial" w:hAnsi="Arial" w:cs="Arial"/>
          <w:color w:val="000000"/>
          <w:sz w:val="32"/>
        </w:rPr>
        <w:t xml:space="preserve">        </w:t>
      </w:r>
      <w:r w:rsidRPr="00F64019">
        <w:rPr>
          <w:rFonts w:ascii="Arial" w:hAnsi="Arial" w:cs="Arial"/>
          <w:b/>
          <w:color w:val="000000"/>
          <w:sz w:val="32"/>
        </w:rPr>
        <w:t>01300074</w:t>
      </w:r>
    </w:p>
    <w:p w:rsidR="00B375E6" w:rsidP="005D070C">
      <w:pPr>
        <w:jc w:val="both"/>
        <w:rPr>
          <w:rFonts w:cs="Arial"/>
          <w:color w:val="000000"/>
        </w:rPr>
      </w:pPr>
    </w:p>
    <w:p w:rsidR="00D72592" w:rsidP="00D72592">
      <w:pPr>
        <w:pStyle w:val="Heading1"/>
        <w:spacing w:before="0" w:after="0" w:line="360" w:lineRule="auto"/>
      </w:pPr>
      <w:bookmarkStart w:id="19" w:name="_Toc2557034"/>
      <w:r>
        <w:t xml:space="preserve">GARANTİ VE </w:t>
      </w:r>
      <w:bookmarkEnd w:id="19"/>
      <w:r>
        <w:t>EK ŞARTLAR</w:t>
      </w:r>
    </w:p>
    <w:p w:rsidR="005D070C" w:rsidP="005D070C">
      <w:pPr>
        <w:jc w:val="both"/>
        <w:rPr>
          <w:rFonts w:cs="Arial"/>
          <w:color w:val="000000"/>
        </w:rPr>
      </w:pPr>
    </w:p>
    <w:p w:rsidR="00486EC6" w:rsidRPr="0036638B" w:rsidP="00A010DA">
      <w:pPr>
        <w:spacing w:after="0" w:line="360" w:lineRule="auto"/>
        <w:jc w:val="both"/>
        <w:rPr>
          <w:rFonts w:cs="Arial"/>
          <w:color w:val="000000"/>
          <w:szCs w:val="20"/>
        </w:rPr>
      </w:pPr>
      <w:r w:rsidRPr="0036638B">
        <w:rPr>
          <w:rFonts w:cs="Arial"/>
          <w:color w:val="000000"/>
          <w:szCs w:val="20"/>
        </w:rPr>
        <w:t>Hücrelerin garanti süresi 5 yıl olacaktır.</w:t>
      </w:r>
    </w:p>
    <w:p w:rsidR="003150C9" w:rsidRPr="0036638B" w:rsidP="00A010DA">
      <w:pPr>
        <w:spacing w:after="0" w:line="360" w:lineRule="auto"/>
        <w:jc w:val="both"/>
        <w:rPr>
          <w:rFonts w:cs="Arial"/>
          <w:color w:val="000000"/>
          <w:szCs w:val="20"/>
        </w:rPr>
      </w:pPr>
      <w:r w:rsidRPr="0036638B">
        <w:rPr>
          <w:rFonts w:cs="Arial"/>
          <w:color w:val="000000"/>
          <w:szCs w:val="20"/>
        </w:rPr>
        <w:t>Metal Mahfazalı Modüler Anahtarlama ve Kontrol Düzenleri ile beraber verilecek olan ilave teçhizata ait malzemeler, hücre dışında ayrı bir am</w:t>
      </w:r>
      <w:bookmarkStart w:id="20" w:name="_GoBack"/>
      <w:bookmarkEnd w:id="20"/>
      <w:r w:rsidRPr="0036638B">
        <w:rPr>
          <w:rFonts w:cs="Arial"/>
          <w:color w:val="000000"/>
          <w:szCs w:val="20"/>
        </w:rPr>
        <w:t>balaj içerisinde teslim edilecektir.</w:t>
      </w:r>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1" w:name="_Toc497321282"/>
      <w:bookmarkStart w:id="22" w:name="_Toc497321349"/>
      <w:bookmarkStart w:id="23" w:name="_Toc2557035"/>
      <w:bookmarkEnd w:id="21"/>
      <w:bookmarkEnd w:id="22"/>
      <w:bookmarkEnd w:id="23"/>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4" w:name="_Toc497321283"/>
      <w:bookmarkStart w:id="25" w:name="_Toc497321350"/>
      <w:bookmarkStart w:id="26" w:name="_Toc2557036"/>
      <w:bookmarkEnd w:id="24"/>
      <w:bookmarkEnd w:id="25"/>
      <w:bookmarkEnd w:id="26"/>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7" w:name="_Toc497321284"/>
      <w:bookmarkStart w:id="28" w:name="_Toc497321351"/>
      <w:bookmarkStart w:id="29" w:name="_Toc2557037"/>
      <w:bookmarkEnd w:id="27"/>
      <w:bookmarkEnd w:id="28"/>
      <w:bookmarkEnd w:id="29"/>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30" w:name="_Toc497321285"/>
      <w:bookmarkStart w:id="31" w:name="_Toc497321352"/>
      <w:bookmarkStart w:id="32" w:name="_Toc2557038"/>
      <w:bookmarkEnd w:id="30"/>
      <w:bookmarkEnd w:id="31"/>
      <w:bookmarkEnd w:id="32"/>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33" w:name="_Toc497321286"/>
      <w:bookmarkStart w:id="34" w:name="_Toc497321353"/>
      <w:bookmarkStart w:id="35" w:name="_Toc2557039"/>
      <w:bookmarkEnd w:id="33"/>
      <w:bookmarkEnd w:id="34"/>
      <w:bookmarkEnd w:id="35"/>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36" w:name="_Toc497321287"/>
      <w:bookmarkStart w:id="37" w:name="_Toc497321354"/>
      <w:bookmarkEnd w:id="36"/>
      <w:bookmarkEnd w:id="37"/>
    </w:p>
    <w:sectPr w:rsidSect="00900E0C">
      <w:headerReference w:type="default" r:id="rId6"/>
      <w:footerReference w:type="default" r:id="rId7"/>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TŞ.061</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18.12.2018</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16.03.2020</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72"/>
      <w:gridCol w:w="6550"/>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7F36E3"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7.75pt;height:62pt" o:oleicon="f" o:ole="">
                <v:imagedata r:id="rId1" o:title=""/>
              </v:shape>
              <o:OLEObject Type="Embed" ProgID="PBrush" ShapeID="_x0000_i2049" DrawAspect="Content" ObjectID="_1645877733" r:id="rId2"/>
            </w:object>
          </w:r>
        </w:p>
      </w:tc>
      <w:tc>
        <w:tcPr>
          <w:tcW w:w="6873" w:type="dxa"/>
          <w:tcBorders>
            <w:top w:val="nil"/>
            <w:left w:val="nil"/>
            <w:right w:val="nil"/>
          </w:tcBorders>
          <w:vAlign w:val="center"/>
        </w:tcPr>
        <w:p w:rsidR="007F36E3" w:rsidRPr="00BC2489" w:rsidP="0001783E">
          <w:pPr>
            <w:pStyle w:val="Header"/>
            <w:spacing w:line="360" w:lineRule="auto"/>
            <w:jc w:val="right"/>
            <w:rPr>
              <w:b/>
              <w:sz w:val="36"/>
              <w:szCs w:val="36"/>
            </w:rPr>
          </w:pPr>
          <w:r>
            <w:rPr>
              <w:b/>
              <w:sz w:val="36"/>
              <w:szCs w:val="36"/>
            </w:rPr>
            <w:t xml:space="preserve">MODÜLER HÜCRE EK TEKNİK ŞARTNAMESİ </w:t>
          </w:r>
        </w:p>
      </w:tc>
    </w:tr>
  </w:tbl>
  <w:p w:rsidR="00233EA7"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15E96"/>
    <w:multiLevelType w:val="hybridMultilevel"/>
    <w:tmpl w:val="DD0E0A78"/>
    <w:lvl w:ilvl="0">
      <w:start w:val="1"/>
      <w:numFmt w:val="bullet"/>
      <w:lvlText w:val=""/>
      <w:lvlJc w:val="left"/>
      <w:pPr>
        <w:ind w:left="2062" w:hanging="360"/>
      </w:pPr>
      <w:rPr>
        <w:rFonts w:ascii="Symbol" w:hAnsi="Symbol"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nsid w:val="0E7A1267"/>
    <w:multiLevelType w:val="hybridMultilevel"/>
    <w:tmpl w:val="5084416A"/>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2">
    <w:nsid w:val="1282361E"/>
    <w:multiLevelType w:val="hybridMultilevel"/>
    <w:tmpl w:val="C60A1AB4"/>
    <w:lvl w:ilvl="0">
      <w:start w:val="1"/>
      <w:numFmt w:val="lowerLetter"/>
      <w:lvlText w:val="%1)"/>
      <w:lvlJc w:val="left"/>
      <w:pPr>
        <w:ind w:left="2062" w:hanging="360"/>
      </w:pPr>
      <w:rPr>
        <w:rFonts w:hint="default"/>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3">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747222C"/>
    <w:multiLevelType w:val="multilevel"/>
    <w:tmpl w:val="8DEADC9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decimal"/>
      <w:lvlText w:val="%1.%2.%3"/>
      <w:lvlJc w:val="left"/>
      <w:pPr>
        <w:tabs>
          <w:tab w:val="num" w:pos="851"/>
        </w:tabs>
        <w:ind w:left="851" w:hanging="851"/>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C1C797A"/>
    <w:multiLevelType w:val="hybridMultilevel"/>
    <w:tmpl w:val="ADB6A8B6"/>
    <w:lvl w:ilvl="0">
      <w:start w:val="2"/>
      <w:numFmt w:val="bullet"/>
      <w:lvlText w:val="-"/>
      <w:lvlJc w:val="left"/>
      <w:pPr>
        <w:ind w:left="1193" w:hanging="360"/>
      </w:pPr>
      <w:rPr>
        <w:rFonts w:ascii="Times New Roman" w:hAnsi="Times New Roman"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6">
    <w:nsid w:val="38BD73B2"/>
    <w:multiLevelType w:val="hybridMultilevel"/>
    <w:tmpl w:val="9F6EE9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C00CBD"/>
    <w:multiLevelType w:val="hybridMultilevel"/>
    <w:tmpl w:val="C8E2290A"/>
    <w:lvl w:ilvl="0">
      <w:start w:val="2"/>
      <w:numFmt w:val="bullet"/>
      <w:lvlText w:val="-"/>
      <w:lvlJc w:val="left"/>
      <w:pPr>
        <w:ind w:left="2062" w:hanging="360"/>
      </w:pPr>
      <w:rPr>
        <w:rFonts w:ascii="Times New Roman" w:hAnsi="Times New Roman"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8">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9">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0">
    <w:nsid w:val="4CF05AFF"/>
    <w:multiLevelType w:val="multilevel"/>
    <w:tmpl w:val="2EF24A90"/>
    <w:lvl w:ilvl="0">
      <w:start w:val="1"/>
      <w:numFmt w:val="decimal"/>
      <w:lvlText w:val="%1."/>
      <w:lvlJc w:val="left"/>
      <w:pPr>
        <w:tabs>
          <w:tab w:val="num" w:pos="851"/>
        </w:tabs>
        <w:ind w:left="851" w:hanging="738"/>
      </w:pPr>
      <w:rPr>
        <w:rFonts w:ascii="Arial" w:hAnsi="Arial" w:hint="default"/>
        <w:b/>
        <w:i w:val="0"/>
        <w:sz w:val="22"/>
      </w:rPr>
    </w:lvl>
    <w:lvl w:ilvl="1">
      <w:start w:val="1"/>
      <w:numFmt w:val="decimal"/>
      <w:lvlText w:val="%1.%2"/>
      <w:lvlJc w:val="left"/>
      <w:pPr>
        <w:tabs>
          <w:tab w:val="num" w:pos="851"/>
        </w:tabs>
        <w:ind w:left="851" w:hanging="738"/>
      </w:pPr>
      <w:rPr>
        <w:rFonts w:ascii="Arial" w:hAnsi="Arial" w:hint="default"/>
        <w:b/>
        <w:i w:val="0"/>
        <w:sz w:val="22"/>
      </w:rPr>
    </w:lvl>
    <w:lvl w:ilvl="2">
      <w:start w:val="1"/>
      <w:numFmt w:val="decimal"/>
      <w:lvlText w:val="%1.%2.%3"/>
      <w:lvlJc w:val="left"/>
      <w:pPr>
        <w:tabs>
          <w:tab w:val="num" w:pos="880"/>
        </w:tabs>
        <w:ind w:left="880" w:hanging="738"/>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72D66BB"/>
    <w:multiLevelType w:val="singleLevel"/>
    <w:tmpl w:val="6DCE00CA"/>
    <w:lvl w:ilvl="0">
      <w:start w:val="1"/>
      <w:numFmt w:val="lowerLetter"/>
      <w:lvlText w:val="%1."/>
      <w:lvlJc w:val="left"/>
      <w:pPr>
        <w:tabs>
          <w:tab w:val="num" w:pos="1701"/>
        </w:tabs>
        <w:ind w:left="1701" w:hanging="850"/>
      </w:pPr>
      <w:rPr>
        <w:rFonts w:ascii="Arial" w:hAnsi="Arial" w:hint="default"/>
        <w:b/>
        <w:i w:val="0"/>
        <w:sz w:val="22"/>
      </w:rPr>
    </w:lvl>
  </w:abstractNum>
  <w:abstractNum w:abstractNumId="12">
    <w:nsid w:val="6D7022B2"/>
    <w:multiLevelType w:val="hybridMultilevel"/>
    <w:tmpl w:val="F49A5BC4"/>
    <w:lvl w:ilvl="0">
      <w:start w:val="1"/>
      <w:numFmt w:val="bullet"/>
      <w:lvlText w:val="-"/>
      <w:lvlJc w:val="left"/>
      <w:pPr>
        <w:ind w:left="349" w:hanging="360"/>
      </w:pPr>
      <w:rPr>
        <w:rFonts w:ascii="Arial" w:eastAsia="Times New Roman" w:hAnsi="Arial" w:cs="Arial" w:hint="default"/>
      </w:rPr>
    </w:lvl>
    <w:lvl w:ilvl="1" w:tentative="1">
      <w:start w:val="1"/>
      <w:numFmt w:val="bullet"/>
      <w:lvlText w:val="o"/>
      <w:lvlJc w:val="left"/>
      <w:pPr>
        <w:ind w:left="1069" w:hanging="360"/>
      </w:pPr>
      <w:rPr>
        <w:rFonts w:ascii="Courier New" w:hAnsi="Courier New" w:cs="Courier New" w:hint="default"/>
      </w:rPr>
    </w:lvl>
    <w:lvl w:ilvl="2" w:tentative="1">
      <w:start w:val="1"/>
      <w:numFmt w:val="bullet"/>
      <w:lvlText w:val=""/>
      <w:lvlJc w:val="left"/>
      <w:pPr>
        <w:ind w:left="1789" w:hanging="360"/>
      </w:pPr>
      <w:rPr>
        <w:rFonts w:ascii="Wingdings" w:hAnsi="Wingdings" w:hint="default"/>
      </w:rPr>
    </w:lvl>
    <w:lvl w:ilvl="3" w:tentative="1">
      <w:start w:val="1"/>
      <w:numFmt w:val="bullet"/>
      <w:lvlText w:val=""/>
      <w:lvlJc w:val="left"/>
      <w:pPr>
        <w:ind w:left="2509" w:hanging="360"/>
      </w:pPr>
      <w:rPr>
        <w:rFonts w:ascii="Symbol" w:hAnsi="Symbol" w:hint="default"/>
      </w:rPr>
    </w:lvl>
    <w:lvl w:ilvl="4" w:tentative="1">
      <w:start w:val="1"/>
      <w:numFmt w:val="bullet"/>
      <w:lvlText w:val="o"/>
      <w:lvlJc w:val="left"/>
      <w:pPr>
        <w:ind w:left="3229" w:hanging="360"/>
      </w:pPr>
      <w:rPr>
        <w:rFonts w:ascii="Courier New" w:hAnsi="Courier New" w:cs="Courier New" w:hint="default"/>
      </w:rPr>
    </w:lvl>
    <w:lvl w:ilvl="5" w:tentative="1">
      <w:start w:val="1"/>
      <w:numFmt w:val="bullet"/>
      <w:lvlText w:val=""/>
      <w:lvlJc w:val="left"/>
      <w:pPr>
        <w:ind w:left="3949" w:hanging="360"/>
      </w:pPr>
      <w:rPr>
        <w:rFonts w:ascii="Wingdings" w:hAnsi="Wingdings" w:hint="default"/>
      </w:rPr>
    </w:lvl>
    <w:lvl w:ilvl="6" w:tentative="1">
      <w:start w:val="1"/>
      <w:numFmt w:val="bullet"/>
      <w:lvlText w:val=""/>
      <w:lvlJc w:val="left"/>
      <w:pPr>
        <w:ind w:left="4669" w:hanging="360"/>
      </w:pPr>
      <w:rPr>
        <w:rFonts w:ascii="Symbol" w:hAnsi="Symbol" w:hint="default"/>
      </w:rPr>
    </w:lvl>
    <w:lvl w:ilvl="7" w:tentative="1">
      <w:start w:val="1"/>
      <w:numFmt w:val="bullet"/>
      <w:lvlText w:val="o"/>
      <w:lvlJc w:val="left"/>
      <w:pPr>
        <w:ind w:left="5389" w:hanging="360"/>
      </w:pPr>
      <w:rPr>
        <w:rFonts w:ascii="Courier New" w:hAnsi="Courier New" w:cs="Courier New" w:hint="default"/>
      </w:rPr>
    </w:lvl>
    <w:lvl w:ilvl="8" w:tentative="1">
      <w:start w:val="1"/>
      <w:numFmt w:val="bullet"/>
      <w:lvlText w:val=""/>
      <w:lvlJc w:val="left"/>
      <w:pPr>
        <w:ind w:left="6109" w:hanging="360"/>
      </w:pPr>
      <w:rPr>
        <w:rFonts w:ascii="Wingdings" w:hAnsi="Wingdings" w:hint="default"/>
      </w:rPr>
    </w:lvl>
  </w:abstractNum>
  <w:abstractNum w:abstractNumId="13">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14">
    <w:nsid w:val="77195630"/>
    <w:multiLevelType w:val="hybridMultilevel"/>
    <w:tmpl w:val="60DC6364"/>
    <w:lvl w:ilvl="0">
      <w:start w:val="6"/>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B1B09C8"/>
    <w:multiLevelType w:val="hybridMultilevel"/>
    <w:tmpl w:val="CCCC52D6"/>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num w:numId="1">
    <w:abstractNumId w:val="3"/>
  </w:num>
  <w:num w:numId="2">
    <w:abstractNumId w:val="3"/>
  </w:num>
  <w:num w:numId="3">
    <w:abstractNumId w:val="9"/>
  </w:num>
  <w:num w:numId="4">
    <w:abstractNumId w:val="8"/>
  </w:num>
  <w:num w:numId="5">
    <w:abstractNumId w:val="10"/>
  </w:num>
  <w:num w:numId="6">
    <w:abstractNumId w:val="5"/>
  </w:num>
  <w:num w:numId="7">
    <w:abstractNumId w:val="13"/>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2"/>
  </w:num>
  <w:num w:numId="13">
    <w:abstractNumId w:val="1"/>
  </w:num>
  <w:num w:numId="14">
    <w:abstractNumId w:val="15"/>
  </w:num>
  <w:num w:numId="15">
    <w:abstractNumId w:val="3"/>
  </w:num>
  <w:num w:numId="16">
    <w:abstractNumId w:val="3"/>
  </w:num>
  <w:num w:numId="17">
    <w:abstractNumId w:val="3"/>
  </w:num>
  <w:num w:numId="18">
    <w:abstractNumId w:val="3"/>
  </w:num>
  <w:num w:numId="19">
    <w:abstractNumId w:val="3"/>
  </w:num>
  <w:num w:numId="20">
    <w:abstractNumId w:val="6"/>
  </w:num>
  <w:num w:numId="21">
    <w:abstractNumId w:val="3"/>
  </w:num>
  <w:num w:numId="22">
    <w:abstractNumId w:val="0"/>
  </w:num>
  <w:num w:numId="23">
    <w:abstractNumId w:val="14"/>
  </w:num>
  <w:num w:numId="24">
    <w:abstractNumId w:val="12"/>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0A2B"/>
    <w:rsid w:val="00001F64"/>
    <w:rsid w:val="000050C3"/>
    <w:rsid w:val="000077CE"/>
    <w:rsid w:val="000078F1"/>
    <w:rsid w:val="00010192"/>
    <w:rsid w:val="00016E0E"/>
    <w:rsid w:val="0001729C"/>
    <w:rsid w:val="0001783E"/>
    <w:rsid w:val="0002422E"/>
    <w:rsid w:val="000267A2"/>
    <w:rsid w:val="00052205"/>
    <w:rsid w:val="00055F34"/>
    <w:rsid w:val="00056120"/>
    <w:rsid w:val="00057BA7"/>
    <w:rsid w:val="00060B99"/>
    <w:rsid w:val="00063EA0"/>
    <w:rsid w:val="00067421"/>
    <w:rsid w:val="00072003"/>
    <w:rsid w:val="00081381"/>
    <w:rsid w:val="00094CF1"/>
    <w:rsid w:val="00097E88"/>
    <w:rsid w:val="000A3823"/>
    <w:rsid w:val="000B5ECD"/>
    <w:rsid w:val="000B6781"/>
    <w:rsid w:val="000D2CB0"/>
    <w:rsid w:val="000D66FB"/>
    <w:rsid w:val="000E59F2"/>
    <w:rsid w:val="000E6142"/>
    <w:rsid w:val="000E743B"/>
    <w:rsid w:val="000E75F0"/>
    <w:rsid w:val="0010590F"/>
    <w:rsid w:val="00105AB9"/>
    <w:rsid w:val="00131DF9"/>
    <w:rsid w:val="001354B7"/>
    <w:rsid w:val="001430B2"/>
    <w:rsid w:val="00145598"/>
    <w:rsid w:val="0015020F"/>
    <w:rsid w:val="001507A2"/>
    <w:rsid w:val="00152787"/>
    <w:rsid w:val="00152A6E"/>
    <w:rsid w:val="00154C0F"/>
    <w:rsid w:val="00155668"/>
    <w:rsid w:val="0017306C"/>
    <w:rsid w:val="00173CA8"/>
    <w:rsid w:val="00175E33"/>
    <w:rsid w:val="00177538"/>
    <w:rsid w:val="0018149E"/>
    <w:rsid w:val="00186958"/>
    <w:rsid w:val="00191420"/>
    <w:rsid w:val="00192143"/>
    <w:rsid w:val="00195987"/>
    <w:rsid w:val="00197A94"/>
    <w:rsid w:val="001A1556"/>
    <w:rsid w:val="001A43BF"/>
    <w:rsid w:val="001B63D3"/>
    <w:rsid w:val="001B641F"/>
    <w:rsid w:val="001C0C6A"/>
    <w:rsid w:val="001C1F85"/>
    <w:rsid w:val="001C3216"/>
    <w:rsid w:val="001C4CC7"/>
    <w:rsid w:val="001C5DD1"/>
    <w:rsid w:val="001C6047"/>
    <w:rsid w:val="001C7C05"/>
    <w:rsid w:val="001D509B"/>
    <w:rsid w:val="001D5ED7"/>
    <w:rsid w:val="001E7771"/>
    <w:rsid w:val="001F0980"/>
    <w:rsid w:val="001F4B63"/>
    <w:rsid w:val="001F7395"/>
    <w:rsid w:val="0020476C"/>
    <w:rsid w:val="00205342"/>
    <w:rsid w:val="00220E06"/>
    <w:rsid w:val="002230E6"/>
    <w:rsid w:val="002265AC"/>
    <w:rsid w:val="002267E0"/>
    <w:rsid w:val="00230BB0"/>
    <w:rsid w:val="00231B81"/>
    <w:rsid w:val="00233EA7"/>
    <w:rsid w:val="002411E5"/>
    <w:rsid w:val="00241398"/>
    <w:rsid w:val="00241F2C"/>
    <w:rsid w:val="00246368"/>
    <w:rsid w:val="00251C64"/>
    <w:rsid w:val="002568FF"/>
    <w:rsid w:val="002576F5"/>
    <w:rsid w:val="00272B07"/>
    <w:rsid w:val="00272DF6"/>
    <w:rsid w:val="00275788"/>
    <w:rsid w:val="00282850"/>
    <w:rsid w:val="002856DD"/>
    <w:rsid w:val="00292234"/>
    <w:rsid w:val="002A1EED"/>
    <w:rsid w:val="002B4AF7"/>
    <w:rsid w:val="002B5D02"/>
    <w:rsid w:val="002C2EB6"/>
    <w:rsid w:val="002D569C"/>
    <w:rsid w:val="002D6D27"/>
    <w:rsid w:val="002D7088"/>
    <w:rsid w:val="002E4F59"/>
    <w:rsid w:val="003035D0"/>
    <w:rsid w:val="00305418"/>
    <w:rsid w:val="00306F1E"/>
    <w:rsid w:val="003144F9"/>
    <w:rsid w:val="00314BD2"/>
    <w:rsid w:val="00314C25"/>
    <w:rsid w:val="003150C9"/>
    <w:rsid w:val="00323BBE"/>
    <w:rsid w:val="003241F1"/>
    <w:rsid w:val="00326409"/>
    <w:rsid w:val="003277A9"/>
    <w:rsid w:val="003366A3"/>
    <w:rsid w:val="00343DB2"/>
    <w:rsid w:val="00354EA9"/>
    <w:rsid w:val="00356ABE"/>
    <w:rsid w:val="0036230B"/>
    <w:rsid w:val="00363B42"/>
    <w:rsid w:val="00364628"/>
    <w:rsid w:val="0036638B"/>
    <w:rsid w:val="003667A8"/>
    <w:rsid w:val="00377310"/>
    <w:rsid w:val="00381F97"/>
    <w:rsid w:val="00382990"/>
    <w:rsid w:val="00383DB2"/>
    <w:rsid w:val="003906C0"/>
    <w:rsid w:val="00391998"/>
    <w:rsid w:val="003960F4"/>
    <w:rsid w:val="00396A23"/>
    <w:rsid w:val="00397638"/>
    <w:rsid w:val="003A3EDF"/>
    <w:rsid w:val="003A4461"/>
    <w:rsid w:val="003C166A"/>
    <w:rsid w:val="003C2400"/>
    <w:rsid w:val="003C318E"/>
    <w:rsid w:val="003C65CF"/>
    <w:rsid w:val="003D3384"/>
    <w:rsid w:val="003E0E4D"/>
    <w:rsid w:val="003E53BA"/>
    <w:rsid w:val="003E5863"/>
    <w:rsid w:val="003F1124"/>
    <w:rsid w:val="003F3A44"/>
    <w:rsid w:val="003F4808"/>
    <w:rsid w:val="003F52FD"/>
    <w:rsid w:val="004109DB"/>
    <w:rsid w:val="004120E1"/>
    <w:rsid w:val="00416C31"/>
    <w:rsid w:val="00424A81"/>
    <w:rsid w:val="00425D7F"/>
    <w:rsid w:val="00430FBC"/>
    <w:rsid w:val="00434914"/>
    <w:rsid w:val="004362BC"/>
    <w:rsid w:val="0043667F"/>
    <w:rsid w:val="004371AB"/>
    <w:rsid w:val="004543C7"/>
    <w:rsid w:val="00462359"/>
    <w:rsid w:val="004625DB"/>
    <w:rsid w:val="0046536D"/>
    <w:rsid w:val="0046760A"/>
    <w:rsid w:val="0047382E"/>
    <w:rsid w:val="00484A80"/>
    <w:rsid w:val="00486EC6"/>
    <w:rsid w:val="004A0793"/>
    <w:rsid w:val="004A1BB7"/>
    <w:rsid w:val="004A7BE9"/>
    <w:rsid w:val="004B0AEA"/>
    <w:rsid w:val="004B3F15"/>
    <w:rsid w:val="004D5B0F"/>
    <w:rsid w:val="004E048F"/>
    <w:rsid w:val="004E40B5"/>
    <w:rsid w:val="004E454A"/>
    <w:rsid w:val="004F3453"/>
    <w:rsid w:val="005012E9"/>
    <w:rsid w:val="0050399B"/>
    <w:rsid w:val="00506952"/>
    <w:rsid w:val="00511AA7"/>
    <w:rsid w:val="00517972"/>
    <w:rsid w:val="00520E33"/>
    <w:rsid w:val="00521270"/>
    <w:rsid w:val="0052260F"/>
    <w:rsid w:val="0053468F"/>
    <w:rsid w:val="00536123"/>
    <w:rsid w:val="00543566"/>
    <w:rsid w:val="00544A78"/>
    <w:rsid w:val="005459CB"/>
    <w:rsid w:val="00553571"/>
    <w:rsid w:val="005541B7"/>
    <w:rsid w:val="005545B9"/>
    <w:rsid w:val="00555BB1"/>
    <w:rsid w:val="005635A2"/>
    <w:rsid w:val="00566513"/>
    <w:rsid w:val="0058062F"/>
    <w:rsid w:val="00583628"/>
    <w:rsid w:val="00583D26"/>
    <w:rsid w:val="005A7314"/>
    <w:rsid w:val="005A7B92"/>
    <w:rsid w:val="005B02E4"/>
    <w:rsid w:val="005B2DA5"/>
    <w:rsid w:val="005C2EBF"/>
    <w:rsid w:val="005C5EA6"/>
    <w:rsid w:val="005D070C"/>
    <w:rsid w:val="005F1449"/>
    <w:rsid w:val="005F2501"/>
    <w:rsid w:val="005F3CA3"/>
    <w:rsid w:val="005F59A6"/>
    <w:rsid w:val="00603F29"/>
    <w:rsid w:val="006211A6"/>
    <w:rsid w:val="00624921"/>
    <w:rsid w:val="00630443"/>
    <w:rsid w:val="00635C66"/>
    <w:rsid w:val="00637E80"/>
    <w:rsid w:val="0064699D"/>
    <w:rsid w:val="00646C97"/>
    <w:rsid w:val="00652A45"/>
    <w:rsid w:val="0066056F"/>
    <w:rsid w:val="00666481"/>
    <w:rsid w:val="00666949"/>
    <w:rsid w:val="006679C3"/>
    <w:rsid w:val="00680496"/>
    <w:rsid w:val="006811AE"/>
    <w:rsid w:val="00683A66"/>
    <w:rsid w:val="006870A0"/>
    <w:rsid w:val="00690673"/>
    <w:rsid w:val="00695A91"/>
    <w:rsid w:val="006A0E1B"/>
    <w:rsid w:val="006B7998"/>
    <w:rsid w:val="006C50C4"/>
    <w:rsid w:val="006C78C8"/>
    <w:rsid w:val="006D10A3"/>
    <w:rsid w:val="006D438F"/>
    <w:rsid w:val="006D4F11"/>
    <w:rsid w:val="006E18DD"/>
    <w:rsid w:val="006E3989"/>
    <w:rsid w:val="006E5177"/>
    <w:rsid w:val="006E5F43"/>
    <w:rsid w:val="006F00D4"/>
    <w:rsid w:val="006F19C8"/>
    <w:rsid w:val="006F4704"/>
    <w:rsid w:val="006F494F"/>
    <w:rsid w:val="006F61DD"/>
    <w:rsid w:val="006F7C9D"/>
    <w:rsid w:val="00701E1B"/>
    <w:rsid w:val="007052FB"/>
    <w:rsid w:val="00706089"/>
    <w:rsid w:val="00706732"/>
    <w:rsid w:val="007122AB"/>
    <w:rsid w:val="00715859"/>
    <w:rsid w:val="007228A1"/>
    <w:rsid w:val="0072354A"/>
    <w:rsid w:val="00723B79"/>
    <w:rsid w:val="0072607D"/>
    <w:rsid w:val="0076299D"/>
    <w:rsid w:val="00765F97"/>
    <w:rsid w:val="00766AB9"/>
    <w:rsid w:val="007702E3"/>
    <w:rsid w:val="00780F1B"/>
    <w:rsid w:val="0078314A"/>
    <w:rsid w:val="0079770B"/>
    <w:rsid w:val="007A1DC7"/>
    <w:rsid w:val="007A4CD7"/>
    <w:rsid w:val="007C254C"/>
    <w:rsid w:val="007D3BA7"/>
    <w:rsid w:val="007E055D"/>
    <w:rsid w:val="007F36E3"/>
    <w:rsid w:val="008069DC"/>
    <w:rsid w:val="00807C34"/>
    <w:rsid w:val="008173E3"/>
    <w:rsid w:val="008245F2"/>
    <w:rsid w:val="0082498B"/>
    <w:rsid w:val="00833D26"/>
    <w:rsid w:val="008447B2"/>
    <w:rsid w:val="00847C83"/>
    <w:rsid w:val="008563BB"/>
    <w:rsid w:val="00864A89"/>
    <w:rsid w:val="008716B1"/>
    <w:rsid w:val="00875F55"/>
    <w:rsid w:val="008811C2"/>
    <w:rsid w:val="008913A5"/>
    <w:rsid w:val="00897D97"/>
    <w:rsid w:val="008A2565"/>
    <w:rsid w:val="008B65A7"/>
    <w:rsid w:val="008C0823"/>
    <w:rsid w:val="008C51D0"/>
    <w:rsid w:val="008C6479"/>
    <w:rsid w:val="008D2F4E"/>
    <w:rsid w:val="008D5E60"/>
    <w:rsid w:val="008E0D39"/>
    <w:rsid w:val="008E6DEA"/>
    <w:rsid w:val="008F0A99"/>
    <w:rsid w:val="00900E0C"/>
    <w:rsid w:val="00902805"/>
    <w:rsid w:val="009130F5"/>
    <w:rsid w:val="009250E4"/>
    <w:rsid w:val="00927719"/>
    <w:rsid w:val="00971739"/>
    <w:rsid w:val="00980EA7"/>
    <w:rsid w:val="00982F3C"/>
    <w:rsid w:val="009847B4"/>
    <w:rsid w:val="0098658F"/>
    <w:rsid w:val="00986CDE"/>
    <w:rsid w:val="0099053D"/>
    <w:rsid w:val="0099773F"/>
    <w:rsid w:val="009B399B"/>
    <w:rsid w:val="009B459C"/>
    <w:rsid w:val="009C0DEF"/>
    <w:rsid w:val="009C2C38"/>
    <w:rsid w:val="009C6A28"/>
    <w:rsid w:val="009D3B57"/>
    <w:rsid w:val="009D3F5A"/>
    <w:rsid w:val="009E3AB6"/>
    <w:rsid w:val="009E6AC9"/>
    <w:rsid w:val="009F4CBC"/>
    <w:rsid w:val="00A0046C"/>
    <w:rsid w:val="00A010DA"/>
    <w:rsid w:val="00A111D4"/>
    <w:rsid w:val="00A124E9"/>
    <w:rsid w:val="00A16237"/>
    <w:rsid w:val="00A201A7"/>
    <w:rsid w:val="00A301D2"/>
    <w:rsid w:val="00A31F3B"/>
    <w:rsid w:val="00A3432E"/>
    <w:rsid w:val="00A34977"/>
    <w:rsid w:val="00A40601"/>
    <w:rsid w:val="00A41F1E"/>
    <w:rsid w:val="00A4763D"/>
    <w:rsid w:val="00A56A4B"/>
    <w:rsid w:val="00A60B09"/>
    <w:rsid w:val="00A6533C"/>
    <w:rsid w:val="00A70308"/>
    <w:rsid w:val="00A70B83"/>
    <w:rsid w:val="00A7405B"/>
    <w:rsid w:val="00A81CF2"/>
    <w:rsid w:val="00A843C3"/>
    <w:rsid w:val="00A873CD"/>
    <w:rsid w:val="00A91F6F"/>
    <w:rsid w:val="00A9241E"/>
    <w:rsid w:val="00AA1324"/>
    <w:rsid w:val="00AA1F01"/>
    <w:rsid w:val="00AA61B6"/>
    <w:rsid w:val="00AA70D0"/>
    <w:rsid w:val="00AB1B1A"/>
    <w:rsid w:val="00AB3301"/>
    <w:rsid w:val="00AB53DA"/>
    <w:rsid w:val="00AB541B"/>
    <w:rsid w:val="00AB7F8E"/>
    <w:rsid w:val="00AC2F1E"/>
    <w:rsid w:val="00AD060F"/>
    <w:rsid w:val="00AD0716"/>
    <w:rsid w:val="00AD7754"/>
    <w:rsid w:val="00AE7960"/>
    <w:rsid w:val="00AF3052"/>
    <w:rsid w:val="00B0516B"/>
    <w:rsid w:val="00B05B31"/>
    <w:rsid w:val="00B069CF"/>
    <w:rsid w:val="00B1278A"/>
    <w:rsid w:val="00B12A1E"/>
    <w:rsid w:val="00B23ADF"/>
    <w:rsid w:val="00B25BEC"/>
    <w:rsid w:val="00B2619C"/>
    <w:rsid w:val="00B30B1D"/>
    <w:rsid w:val="00B375E6"/>
    <w:rsid w:val="00B37C5E"/>
    <w:rsid w:val="00B40933"/>
    <w:rsid w:val="00B4137A"/>
    <w:rsid w:val="00B44E9B"/>
    <w:rsid w:val="00B502C9"/>
    <w:rsid w:val="00B521AB"/>
    <w:rsid w:val="00B52CFD"/>
    <w:rsid w:val="00B548E0"/>
    <w:rsid w:val="00B60042"/>
    <w:rsid w:val="00B66FB6"/>
    <w:rsid w:val="00B67094"/>
    <w:rsid w:val="00B6794E"/>
    <w:rsid w:val="00B741E8"/>
    <w:rsid w:val="00B759BD"/>
    <w:rsid w:val="00B8374E"/>
    <w:rsid w:val="00B86443"/>
    <w:rsid w:val="00B873BE"/>
    <w:rsid w:val="00B91BDA"/>
    <w:rsid w:val="00BA4D2A"/>
    <w:rsid w:val="00BB2605"/>
    <w:rsid w:val="00BB3086"/>
    <w:rsid w:val="00BB3D0C"/>
    <w:rsid w:val="00BB7875"/>
    <w:rsid w:val="00BC2489"/>
    <w:rsid w:val="00BD2BE9"/>
    <w:rsid w:val="00BD7A52"/>
    <w:rsid w:val="00BE3369"/>
    <w:rsid w:val="00BE42A7"/>
    <w:rsid w:val="00BE6CC7"/>
    <w:rsid w:val="00C1328C"/>
    <w:rsid w:val="00C134D5"/>
    <w:rsid w:val="00C21F3B"/>
    <w:rsid w:val="00C22119"/>
    <w:rsid w:val="00C22EF5"/>
    <w:rsid w:val="00C2652E"/>
    <w:rsid w:val="00C532DC"/>
    <w:rsid w:val="00C7504F"/>
    <w:rsid w:val="00C762B9"/>
    <w:rsid w:val="00C803BA"/>
    <w:rsid w:val="00C847B6"/>
    <w:rsid w:val="00C8496E"/>
    <w:rsid w:val="00C84B1A"/>
    <w:rsid w:val="00C85164"/>
    <w:rsid w:val="00C87872"/>
    <w:rsid w:val="00C9048B"/>
    <w:rsid w:val="00C9407D"/>
    <w:rsid w:val="00CA483B"/>
    <w:rsid w:val="00CA4B9D"/>
    <w:rsid w:val="00CA6347"/>
    <w:rsid w:val="00CC7AA6"/>
    <w:rsid w:val="00CD63EA"/>
    <w:rsid w:val="00CE5B98"/>
    <w:rsid w:val="00CF1AD1"/>
    <w:rsid w:val="00CF673B"/>
    <w:rsid w:val="00CF79A0"/>
    <w:rsid w:val="00D10E5B"/>
    <w:rsid w:val="00D13D01"/>
    <w:rsid w:val="00D17C89"/>
    <w:rsid w:val="00D21E5D"/>
    <w:rsid w:val="00D22D98"/>
    <w:rsid w:val="00D23795"/>
    <w:rsid w:val="00D240FD"/>
    <w:rsid w:val="00D26453"/>
    <w:rsid w:val="00D31FD6"/>
    <w:rsid w:val="00D4263F"/>
    <w:rsid w:val="00D42D2E"/>
    <w:rsid w:val="00D513FC"/>
    <w:rsid w:val="00D72592"/>
    <w:rsid w:val="00D758C2"/>
    <w:rsid w:val="00D7617E"/>
    <w:rsid w:val="00D90007"/>
    <w:rsid w:val="00D951EF"/>
    <w:rsid w:val="00D95613"/>
    <w:rsid w:val="00D96CDF"/>
    <w:rsid w:val="00DA43B0"/>
    <w:rsid w:val="00DC1145"/>
    <w:rsid w:val="00DC1724"/>
    <w:rsid w:val="00DC3A80"/>
    <w:rsid w:val="00DD13C9"/>
    <w:rsid w:val="00DD3C47"/>
    <w:rsid w:val="00DF6586"/>
    <w:rsid w:val="00E02F40"/>
    <w:rsid w:val="00E118D6"/>
    <w:rsid w:val="00E15609"/>
    <w:rsid w:val="00E161B6"/>
    <w:rsid w:val="00E1684D"/>
    <w:rsid w:val="00E20277"/>
    <w:rsid w:val="00E22947"/>
    <w:rsid w:val="00E22D3A"/>
    <w:rsid w:val="00E235C1"/>
    <w:rsid w:val="00E26DE3"/>
    <w:rsid w:val="00E26EC1"/>
    <w:rsid w:val="00E34918"/>
    <w:rsid w:val="00E350FF"/>
    <w:rsid w:val="00E46E47"/>
    <w:rsid w:val="00E5528B"/>
    <w:rsid w:val="00E56742"/>
    <w:rsid w:val="00E609B8"/>
    <w:rsid w:val="00E7209D"/>
    <w:rsid w:val="00E82767"/>
    <w:rsid w:val="00E85017"/>
    <w:rsid w:val="00E85551"/>
    <w:rsid w:val="00EA14F9"/>
    <w:rsid w:val="00EA581C"/>
    <w:rsid w:val="00EB2023"/>
    <w:rsid w:val="00EB4478"/>
    <w:rsid w:val="00EC2C42"/>
    <w:rsid w:val="00ED281A"/>
    <w:rsid w:val="00EE3569"/>
    <w:rsid w:val="00EF4921"/>
    <w:rsid w:val="00EF4FF9"/>
    <w:rsid w:val="00EF5FCD"/>
    <w:rsid w:val="00F00499"/>
    <w:rsid w:val="00F00BB7"/>
    <w:rsid w:val="00F11189"/>
    <w:rsid w:val="00F215FA"/>
    <w:rsid w:val="00F3610B"/>
    <w:rsid w:val="00F36550"/>
    <w:rsid w:val="00F37C91"/>
    <w:rsid w:val="00F40D89"/>
    <w:rsid w:val="00F44DB1"/>
    <w:rsid w:val="00F468D4"/>
    <w:rsid w:val="00F50F94"/>
    <w:rsid w:val="00F54CD9"/>
    <w:rsid w:val="00F554B7"/>
    <w:rsid w:val="00F57EED"/>
    <w:rsid w:val="00F64019"/>
    <w:rsid w:val="00F6447C"/>
    <w:rsid w:val="00F660D2"/>
    <w:rsid w:val="00F67061"/>
    <w:rsid w:val="00F67A96"/>
    <w:rsid w:val="00F80489"/>
    <w:rsid w:val="00F80AFD"/>
    <w:rsid w:val="00F81E46"/>
    <w:rsid w:val="00F82331"/>
    <w:rsid w:val="00F911E7"/>
    <w:rsid w:val="00F9135E"/>
    <w:rsid w:val="00F9739F"/>
    <w:rsid w:val="00FA6A65"/>
    <w:rsid w:val="00FB2F61"/>
    <w:rsid w:val="00FB58CC"/>
    <w:rsid w:val="00FC1567"/>
    <w:rsid w:val="00FC3B86"/>
    <w:rsid w:val="00FC5031"/>
    <w:rsid w:val="00FD12BC"/>
    <w:rsid w:val="00FD7FE1"/>
    <w:rsid w:val="00FE18AB"/>
    <w:rsid w:val="00FF23C4"/>
    <w:rsid w:val="00FF29A4"/>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2B76FE3E-6CD8-4193-B233-64250CFB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72"/>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3E0E4D"/>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36638B"/>
    <w:pPr>
      <w:keepNext/>
      <w:keepLines/>
      <w:spacing w:after="0" w:line="360" w:lineRule="auto"/>
      <w:ind w:right="142"/>
      <w:jc w:val="both"/>
    </w:pPr>
    <w:rPr>
      <w:rFonts w:eastAsia="Times New Roman" w:cs="Arial"/>
      <w:szCs w:val="20"/>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F38E4-66B5-42AE-8F17-782B06153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774</Words>
  <Characters>4416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100754 Basak Koptagel</cp:lastModifiedBy>
  <cp:revision>57</cp:revision>
  <dcterms:created xsi:type="dcterms:W3CDTF">2019-03-04T06:02:00Z</dcterms:created>
  <dcterms:modified xsi:type="dcterms:W3CDTF">2020-03-16T12:29:00Z</dcterms:modified>
</cp:coreProperties>
</file>